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90B7C9E" w:rsidR="00E66558" w:rsidRPr="00CA758A" w:rsidRDefault="009D71E8" w:rsidP="00D227FF">
      <w:pPr>
        <w:pStyle w:val="NoSpacing"/>
        <w:rPr>
          <w:b/>
          <w:bCs/>
        </w:rPr>
      </w:pPr>
      <w:bookmarkStart w:id="0" w:name="_Toc400361362"/>
      <w:bookmarkStart w:id="1" w:name="_Toc443397153"/>
      <w:bookmarkStart w:id="2" w:name="_Toc357771638"/>
      <w:bookmarkStart w:id="3" w:name="_Toc346793416"/>
      <w:bookmarkStart w:id="4" w:name="_Toc328122777"/>
      <w:r w:rsidRPr="00CA758A">
        <w:rPr>
          <w:b/>
          <w:bCs/>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CA758A">
        <w:rPr>
          <w:b/>
          <w:bCs/>
        </w:rPr>
        <w:t>- 2022-2023</w:t>
      </w:r>
    </w:p>
    <w:p w14:paraId="2A7D54B2" w14:textId="5F2760CD"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575DC8">
        <w:rPr>
          <w:b w:val="0"/>
          <w:bCs/>
          <w:color w:val="auto"/>
          <w:sz w:val="24"/>
          <w:szCs w:val="24"/>
        </w:rPr>
        <w:t>2</w:t>
      </w:r>
      <w:r>
        <w:rPr>
          <w:b w:val="0"/>
          <w:bCs/>
          <w:color w:val="auto"/>
          <w:sz w:val="24"/>
          <w:szCs w:val="24"/>
        </w:rPr>
        <w:t xml:space="preserve"> to 202</w:t>
      </w:r>
      <w:r w:rsidR="00575DC8">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257587FA">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257587FA">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649A95C0" w:rsidR="00E66558" w:rsidRDefault="002C343F">
            <w:pPr>
              <w:pStyle w:val="TableRow"/>
            </w:pPr>
            <w:r>
              <w:t>City Academy</w:t>
            </w:r>
          </w:p>
        </w:tc>
      </w:tr>
      <w:tr w:rsidR="00E66558" w14:paraId="2A7D54BD" w14:textId="77777777" w:rsidTr="257587FA">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rsidP="257587FA">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C68F210" w:rsidR="00E66558" w:rsidRPr="000E3769" w:rsidRDefault="5AF179DB" w:rsidP="257587FA">
            <w:pPr>
              <w:pStyle w:val="TableRow"/>
              <w:spacing w:line="259" w:lineRule="auto"/>
              <w:rPr>
                <w:color w:val="0D0D0D" w:themeColor="text1" w:themeTint="F2"/>
              </w:rPr>
            </w:pPr>
            <w:r>
              <w:t>824(540 pp)</w:t>
            </w:r>
          </w:p>
        </w:tc>
      </w:tr>
      <w:tr w:rsidR="00E66558" w14:paraId="2A7D54C0" w14:textId="77777777" w:rsidTr="257587FA">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33276ED6" w:rsidR="00E66558" w:rsidRPr="000E3769" w:rsidRDefault="08A9A5A3" w:rsidP="257587FA">
            <w:pPr>
              <w:pStyle w:val="TableRow"/>
            </w:pPr>
            <w:r>
              <w:t>65.6%</w:t>
            </w:r>
          </w:p>
        </w:tc>
      </w:tr>
      <w:tr w:rsidR="00E66558" w14:paraId="2A7D54C3" w14:textId="77777777" w:rsidTr="257587FA">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3C61100D" w:rsidR="00E66558" w:rsidRDefault="009D71E8">
            <w:pPr>
              <w:pStyle w:val="TableRow"/>
            </w:pPr>
            <w:r>
              <w:t xml:space="preserve">Academic year/years that our current pupil premium strategy plan covers </w:t>
            </w:r>
            <w:r w:rsidRPr="257587FA">
              <w:rPr>
                <w:b/>
                <w:bCs/>
              </w:rPr>
              <w:t>(</w:t>
            </w:r>
            <w:bookmarkStart w:id="14" w:name="_Int_Jk9dkBSS"/>
            <w:r w:rsidR="3C7D204D" w:rsidRPr="257587FA">
              <w:rPr>
                <w:b/>
                <w:bCs/>
              </w:rPr>
              <w:t>3-year</w:t>
            </w:r>
            <w:bookmarkEnd w:id="14"/>
            <w:r w:rsidRPr="257587FA">
              <w:rPr>
                <w:b/>
                <w:bCs/>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31450F" w14:textId="77777777" w:rsidR="00E66558" w:rsidRDefault="00DB2D9A">
            <w:pPr>
              <w:pStyle w:val="TableRow"/>
            </w:pPr>
            <w:r>
              <w:t>2021/22</w:t>
            </w:r>
            <w:r>
              <w:br/>
              <w:t>2022/23</w:t>
            </w:r>
          </w:p>
          <w:p w14:paraId="2A7D54C2" w14:textId="4B929AE9" w:rsidR="00DB2D9A" w:rsidRDefault="00DB2D9A">
            <w:pPr>
              <w:pStyle w:val="TableRow"/>
            </w:pPr>
            <w:r>
              <w:t>2023/24</w:t>
            </w:r>
          </w:p>
        </w:tc>
      </w:tr>
      <w:tr w:rsidR="00E66558" w14:paraId="2A7D54C6" w14:textId="77777777" w:rsidTr="257587FA">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A7E670D" w:rsidR="00E66558" w:rsidRDefault="00774C74">
            <w:pPr>
              <w:pStyle w:val="TableRow"/>
            </w:pPr>
            <w:r>
              <w:t>31/12/202</w:t>
            </w:r>
            <w:r w:rsidR="00575DC8">
              <w:t>2</w:t>
            </w:r>
          </w:p>
        </w:tc>
      </w:tr>
      <w:tr w:rsidR="00E66558" w14:paraId="2A7D54C9" w14:textId="77777777" w:rsidTr="257587FA">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5DCFC5C7" w:rsidR="00E66558" w:rsidRDefault="00DB2D9A">
            <w:pPr>
              <w:pStyle w:val="TableRow"/>
            </w:pPr>
            <w:r>
              <w:t>August 202</w:t>
            </w:r>
            <w:r w:rsidR="00575DC8">
              <w:t>3</w:t>
            </w:r>
          </w:p>
        </w:tc>
      </w:tr>
      <w:tr w:rsidR="00E66558" w14:paraId="2A7D54CC" w14:textId="77777777" w:rsidTr="257587FA">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01EDDEC2" w:rsidR="00E66558" w:rsidRDefault="00D85AD1">
            <w:pPr>
              <w:pStyle w:val="TableRow"/>
            </w:pPr>
            <w:r>
              <w:t>Rebecca Bakewell</w:t>
            </w:r>
          </w:p>
        </w:tc>
      </w:tr>
      <w:tr w:rsidR="00E66558" w14:paraId="2A7D54CF" w14:textId="77777777" w:rsidTr="257587FA">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FECD8ED" w:rsidR="00E66558" w:rsidRDefault="00575DC8">
            <w:pPr>
              <w:pStyle w:val="TableRow"/>
            </w:pPr>
            <w:r>
              <w:t xml:space="preserve">Pamela Mills  </w:t>
            </w:r>
          </w:p>
        </w:tc>
      </w:tr>
      <w:tr w:rsidR="00E66558" w14:paraId="2A7D54D2" w14:textId="77777777" w:rsidTr="257587FA">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27ACD956" w:rsidR="00E66558" w:rsidRDefault="00F73613">
            <w:pPr>
              <w:pStyle w:val="TableRow"/>
            </w:pPr>
            <w:r w:rsidRPr="00F73613">
              <w:t>Jasmine Maheshwari</w:t>
            </w:r>
            <w:r>
              <w:t xml:space="preserv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257587F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257587F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9CAA226" w:rsidR="00E66558" w:rsidRPr="00575DC8" w:rsidRDefault="37D96189" w:rsidP="36DDD4B8">
            <w:pPr>
              <w:pStyle w:val="TableRow"/>
              <w:rPr>
                <w:color w:val="0D0D0D" w:themeColor="text1" w:themeTint="F2"/>
              </w:rPr>
            </w:pPr>
            <w:r w:rsidRPr="36DDD4B8">
              <w:rPr>
                <w:rFonts w:ascii="Calibri" w:eastAsia="Calibri" w:hAnsi="Calibri" w:cs="Calibri"/>
                <w:color w:val="444444"/>
                <w:sz w:val="22"/>
                <w:szCs w:val="22"/>
              </w:rPr>
              <w:t>£532,393</w:t>
            </w:r>
          </w:p>
        </w:tc>
      </w:tr>
      <w:tr w:rsidR="00E66558" w14:paraId="2A7D54DC" w14:textId="77777777" w:rsidTr="257587F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5EEF2075" w:rsidR="00E66558" w:rsidRPr="00575DC8" w:rsidRDefault="00E66558">
            <w:pPr>
              <w:pStyle w:val="TableRow"/>
              <w:rPr>
                <w:highlight w:val="yellow"/>
              </w:rPr>
            </w:pPr>
          </w:p>
        </w:tc>
      </w:tr>
      <w:tr w:rsidR="00E66558" w14:paraId="2A7D54DF" w14:textId="77777777" w:rsidTr="257587FA">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01CD366" w:rsidR="00E66558" w:rsidRPr="00575DC8" w:rsidRDefault="00F916A9" w:rsidP="257587FA">
            <w:pPr>
              <w:pStyle w:val="TableRow"/>
              <w:spacing w:line="259" w:lineRule="auto"/>
              <w:rPr>
                <w:color w:val="0D0D0D" w:themeColor="text1" w:themeTint="F2"/>
                <w:sz w:val="20"/>
                <w:szCs w:val="20"/>
              </w:rPr>
            </w:pPr>
            <w:r>
              <w:rPr>
                <w:color w:val="0D0D0D" w:themeColor="text1" w:themeTint="F2"/>
                <w:sz w:val="20"/>
                <w:szCs w:val="20"/>
              </w:rPr>
              <w:t>£0</w:t>
            </w:r>
          </w:p>
        </w:tc>
      </w:tr>
      <w:tr w:rsidR="00E66558" w14:paraId="2A7D54E3" w14:textId="77777777" w:rsidTr="257587FA">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3BBF64" w14:textId="49CAA226" w:rsidR="00E66558" w:rsidRPr="00575DC8" w:rsidRDefault="14BF22C3" w:rsidP="257587FA">
            <w:pPr>
              <w:pStyle w:val="TableRow"/>
              <w:rPr>
                <w:color w:val="000000" w:themeColor="text1"/>
              </w:rPr>
            </w:pPr>
            <w:r w:rsidRPr="257587FA">
              <w:rPr>
                <w:rFonts w:ascii="Calibri" w:eastAsia="Calibri" w:hAnsi="Calibri" w:cs="Calibri"/>
                <w:color w:val="444444"/>
                <w:sz w:val="22"/>
                <w:szCs w:val="22"/>
              </w:rPr>
              <w:t>£532,393</w:t>
            </w:r>
          </w:p>
          <w:p w14:paraId="2A7D54E2" w14:textId="3951418E" w:rsidR="00E66558" w:rsidRPr="00575DC8" w:rsidRDefault="00E66558" w:rsidP="257587FA">
            <w:pPr>
              <w:pStyle w:val="TableRow"/>
              <w:rPr>
                <w:color w:val="0D0D0D" w:themeColor="text1" w:themeTint="F2"/>
                <w:highlight w:val="yellow"/>
              </w:rPr>
            </w:pPr>
          </w:p>
        </w:tc>
      </w:tr>
    </w:tbl>
    <w:p w14:paraId="2A7D54E4" w14:textId="77777777" w:rsidR="00E66558" w:rsidRDefault="009D71E8">
      <w:pPr>
        <w:pStyle w:val="Heading1"/>
      </w:pPr>
      <w:r>
        <w:lastRenderedPageBreak/>
        <w:t>Part A: Pupil premium strategy plan</w:t>
      </w:r>
    </w:p>
    <w:p w14:paraId="2A7D54E5" w14:textId="4B3BC71D" w:rsidR="00E66558" w:rsidRDefault="009D71E8">
      <w:pPr>
        <w:pStyle w:val="Heading2"/>
      </w:pPr>
      <w:bookmarkStart w:id="15" w:name="_Toc357771640"/>
      <w:bookmarkStart w:id="16" w:name="_Toc346793418"/>
      <w:r>
        <w:t>Statement of intent</w:t>
      </w:r>
    </w:p>
    <w:p w14:paraId="1FF78B7E" w14:textId="1F482296" w:rsidR="002C2298" w:rsidRDefault="002C2298" w:rsidP="002C2298">
      <w:r>
        <w:t>City Academy is committed to assisting the most disadvantage</w:t>
      </w:r>
      <w:r w:rsidR="001E188E">
        <w:t>d</w:t>
      </w:r>
      <w:r>
        <w:t xml:space="preserve"> students in the school so that they have the best chance of fulfilling their potential. This relates to </w:t>
      </w:r>
      <w:r w:rsidR="001E188E">
        <w:t>students’</w:t>
      </w:r>
      <w:r>
        <w:t xml:space="preserve"> academic journey, to improve their problem solving, building of skills and ability to undertake external examinations and receive outcomes that allow students to progress onto pathways of their choice. </w:t>
      </w:r>
      <w:r w:rsidR="008C787D">
        <w:t xml:space="preserve">This includes ability to self-regulate personal behaviour and build resilience to all manner of situations will play a role in ensuring development of inter-personal skills which remove barriers to educational success. </w:t>
      </w:r>
      <w:r>
        <w:t xml:space="preserve">This therefore incorporates measurable outcomes such as success in examinations and less easily measurable outcomes such as growth in confidence. </w:t>
      </w:r>
    </w:p>
    <w:p w14:paraId="3FD6ED5B" w14:textId="77777777" w:rsidR="008C787D" w:rsidRDefault="008C787D" w:rsidP="008C787D">
      <w:r>
        <w:t xml:space="preserve">It is also part of the school's vision in relation to pupil premium students that effective teaching and learning, together with high quality careers information, advice and guidance are essential for the progress of students in </w:t>
      </w:r>
      <w:proofErr w:type="gramStart"/>
      <w:r>
        <w:t>exactly the same</w:t>
      </w:r>
      <w:proofErr w:type="gramEnd"/>
      <w:r>
        <w:t xml:space="preserve"> way as for the whole school cohort. The role of parents in nurturing educational engagement and future aspirations is also vital, so communication with these key stakeholders will be addressed using this funding.</w:t>
      </w:r>
      <w:r w:rsidRPr="008C787D">
        <w:t xml:space="preserve"> </w:t>
      </w:r>
    </w:p>
    <w:p w14:paraId="02465913" w14:textId="7AFC65B6" w:rsidR="008C787D" w:rsidRDefault="008C787D" w:rsidP="008C787D">
      <w:r>
        <w:t xml:space="preserve">To this end, pupil premium funding allocated to the school will be used to support students in ways that are responsive to their needs. </w:t>
      </w:r>
      <w:proofErr w:type="gramStart"/>
      <w:r>
        <w:t>In particular are</w:t>
      </w:r>
      <w:proofErr w:type="gramEnd"/>
      <w:r>
        <w:t xml:space="preserve"> shortcomings in core subject areas of English and Mathematics well as literacy levels and reading ages will be addressed. This funding will also be used to support access to opportunities such as additional resources and educational visits.</w:t>
      </w:r>
    </w:p>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BB480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268829C" w:rsidR="00E66558" w:rsidRPr="009A5C10" w:rsidRDefault="009A5C10">
            <w:pPr>
              <w:pStyle w:val="TableRowCentered"/>
              <w:jc w:val="left"/>
            </w:pPr>
            <w:r w:rsidRPr="009A5C10">
              <w:rPr>
                <w:sz w:val="22"/>
                <w:szCs w:val="22"/>
              </w:rPr>
              <w:t xml:space="preserve">Literacy levels are lower for pupil premium students upon entry than for other students. </w:t>
            </w:r>
          </w:p>
        </w:tc>
      </w:tr>
      <w:tr w:rsidR="004842B3" w14:paraId="11810FD1" w14:textId="77777777" w:rsidTr="00BB480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CA085" w14:textId="5FC62EAF" w:rsidR="004842B3" w:rsidRDefault="004842B3" w:rsidP="004842B3">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6C7EF" w14:textId="1A3BC7B1" w:rsidR="004842B3" w:rsidRPr="009A5C10" w:rsidRDefault="004842B3" w:rsidP="004842B3">
            <w:pPr>
              <w:pStyle w:val="TableRowCentered"/>
              <w:jc w:val="left"/>
              <w:rPr>
                <w:sz w:val="22"/>
                <w:szCs w:val="22"/>
              </w:rPr>
            </w:pPr>
            <w:r>
              <w:rPr>
                <w:sz w:val="22"/>
                <w:szCs w:val="22"/>
              </w:rPr>
              <w:t>Reading ages and comprehension</w:t>
            </w:r>
            <w:r w:rsidRPr="009A5C10">
              <w:rPr>
                <w:sz w:val="22"/>
                <w:szCs w:val="22"/>
              </w:rPr>
              <w:t xml:space="preserve"> levels are lower for pupil premium students upon entry than for other students. </w:t>
            </w:r>
          </w:p>
        </w:tc>
      </w:tr>
      <w:tr w:rsidR="004842B3" w14:paraId="2A7D54F5" w14:textId="77777777" w:rsidTr="00BB480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1D1D71BD" w:rsidR="004842B3" w:rsidRDefault="004842B3" w:rsidP="004842B3">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B33D5EB" w:rsidR="004842B3" w:rsidRDefault="004842B3" w:rsidP="004842B3">
            <w:pPr>
              <w:pStyle w:val="TableRowCentered"/>
              <w:jc w:val="left"/>
              <w:rPr>
                <w:sz w:val="22"/>
                <w:szCs w:val="22"/>
              </w:rPr>
            </w:pPr>
            <w:r>
              <w:rPr>
                <w:sz w:val="22"/>
                <w:szCs w:val="22"/>
              </w:rPr>
              <w:t>Low prior attainment of pupil premium students on entry to the Academy</w:t>
            </w:r>
          </w:p>
        </w:tc>
      </w:tr>
      <w:tr w:rsidR="004842B3" w14:paraId="2A7D54F8" w14:textId="77777777" w:rsidTr="00BB480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8B28883" w:rsidR="004842B3" w:rsidRDefault="004842B3" w:rsidP="004842B3">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436759D" w:rsidR="004842B3" w:rsidRDefault="004842B3" w:rsidP="004842B3">
            <w:pPr>
              <w:pStyle w:val="TableRowCentered"/>
              <w:jc w:val="left"/>
              <w:rPr>
                <w:sz w:val="22"/>
                <w:szCs w:val="22"/>
              </w:rPr>
            </w:pPr>
            <w:r>
              <w:rPr>
                <w:sz w:val="22"/>
                <w:szCs w:val="22"/>
              </w:rPr>
              <w:t>Pupil premium students require development of social skills and techniques to self-regulate their behaviour for learning which impact on academic progress.</w:t>
            </w:r>
          </w:p>
        </w:tc>
      </w:tr>
      <w:tr w:rsidR="004842B3" w14:paraId="2A7D54FB" w14:textId="77777777" w:rsidTr="00BB480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5666FA9A" w:rsidR="004842B3" w:rsidRDefault="004842B3" w:rsidP="004842B3">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B10681A" w:rsidR="004842B3" w:rsidRDefault="004842B3" w:rsidP="004842B3">
            <w:pPr>
              <w:pStyle w:val="TableRowCentered"/>
              <w:jc w:val="left"/>
              <w:rPr>
                <w:iCs/>
                <w:sz w:val="22"/>
              </w:rPr>
            </w:pPr>
            <w:r>
              <w:rPr>
                <w:iCs/>
                <w:sz w:val="22"/>
              </w:rPr>
              <w:t>Attitude and perception towards education, school, attendance, and teachers is lower amongst pupil premium students than non-pupil premium students.</w:t>
            </w:r>
          </w:p>
        </w:tc>
      </w:tr>
      <w:tr w:rsidR="004842B3" w14:paraId="2A7D54FE" w14:textId="77777777" w:rsidTr="00BB480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30454E85" w:rsidR="004842B3" w:rsidRDefault="004842B3" w:rsidP="004842B3">
            <w:pPr>
              <w:pStyle w:val="TableRow"/>
              <w:rPr>
                <w:sz w:val="22"/>
                <w:szCs w:val="22"/>
              </w:rPr>
            </w:pPr>
            <w:r>
              <w:rPr>
                <w:sz w:val="22"/>
                <w:szCs w:val="22"/>
              </w:rPr>
              <w:lastRenderedPageBreak/>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14FF957" w:rsidR="004842B3" w:rsidRDefault="004842B3" w:rsidP="004842B3">
            <w:pPr>
              <w:pStyle w:val="TableRowCentered"/>
              <w:jc w:val="left"/>
              <w:rPr>
                <w:iCs/>
                <w:sz w:val="22"/>
              </w:rPr>
            </w:pPr>
            <w:r>
              <w:rPr>
                <w:iCs/>
                <w:sz w:val="22"/>
              </w:rPr>
              <w:t xml:space="preserve">Levels of attendance for pupil premium </w:t>
            </w:r>
            <w:r w:rsidRPr="005743C0">
              <w:rPr>
                <w:iCs/>
                <w:sz w:val="22"/>
              </w:rPr>
              <w:t xml:space="preserve">students are lower than that of </w:t>
            </w:r>
            <w:r w:rsidR="004A7727">
              <w:rPr>
                <w:iCs/>
                <w:sz w:val="22"/>
              </w:rPr>
              <w:t>non-</w:t>
            </w:r>
            <w:r w:rsidR="004A7727" w:rsidRPr="005743C0">
              <w:rPr>
                <w:iCs/>
                <w:sz w:val="22"/>
              </w:rPr>
              <w:t>pupil</w:t>
            </w:r>
            <w:r w:rsidRPr="005743C0">
              <w:rPr>
                <w:iCs/>
                <w:sz w:val="22"/>
              </w:rPr>
              <w:t xml:space="preserve"> premium students</w:t>
            </w:r>
            <w:r>
              <w:rPr>
                <w:iCs/>
                <w:sz w:val="22"/>
              </w:rPr>
              <w:t xml:space="preserve"> </w:t>
            </w:r>
          </w:p>
        </w:tc>
      </w:tr>
      <w:tr w:rsidR="004842B3" w14:paraId="33FAF50E" w14:textId="77777777" w:rsidTr="00BB480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47A9B" w14:textId="74115476" w:rsidR="004842B3" w:rsidRDefault="004842B3" w:rsidP="004842B3">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06AB8" w14:textId="503FCA83" w:rsidR="004842B3" w:rsidRDefault="004842B3" w:rsidP="004842B3">
            <w:pPr>
              <w:pStyle w:val="TableRowCentered"/>
              <w:jc w:val="left"/>
              <w:rPr>
                <w:iCs/>
                <w:sz w:val="22"/>
              </w:rPr>
            </w:pPr>
            <w:r>
              <w:rPr>
                <w:iCs/>
                <w:sz w:val="22"/>
              </w:rPr>
              <w:t xml:space="preserve">Persistent absence rates for pupil premium students are higher than non-pupil premium students. </w:t>
            </w:r>
          </w:p>
        </w:tc>
      </w:tr>
      <w:tr w:rsidR="004842B3" w14:paraId="77D9A810" w14:textId="77777777" w:rsidTr="00BB480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03E40" w14:textId="57E22D60" w:rsidR="004842B3" w:rsidRDefault="004842B3" w:rsidP="004842B3">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116EF" w14:textId="57F79B79" w:rsidR="004842B3" w:rsidRDefault="00F83548" w:rsidP="00F83548">
            <w:pPr>
              <w:pStyle w:val="TableRowCentered"/>
              <w:jc w:val="left"/>
              <w:rPr>
                <w:iCs/>
                <w:sz w:val="22"/>
              </w:rPr>
            </w:pPr>
            <w:r>
              <w:rPr>
                <w:iCs/>
                <w:sz w:val="22"/>
              </w:rPr>
              <w:t>Parents in high areas of deprivation face challenges in engaging with school.</w:t>
            </w:r>
          </w:p>
        </w:tc>
      </w:tr>
      <w:tr w:rsidR="00F83548" w14:paraId="0CD82338" w14:textId="77777777" w:rsidTr="00BB480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4283A" w14:textId="5ACBCCF2" w:rsidR="00F83548" w:rsidRDefault="00F83548" w:rsidP="004842B3">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274B" w14:textId="3BDC6CE3" w:rsidR="00F83548" w:rsidRPr="003D2998" w:rsidRDefault="00F83548" w:rsidP="004842B3">
            <w:pPr>
              <w:pStyle w:val="TableRowCentered"/>
              <w:jc w:val="left"/>
              <w:rPr>
                <w:iCs/>
                <w:sz w:val="22"/>
              </w:rPr>
            </w:pPr>
            <w:r>
              <w:rPr>
                <w:iCs/>
                <w:sz w:val="22"/>
              </w:rPr>
              <w:t xml:space="preserve">Ensuring </w:t>
            </w:r>
            <w:r w:rsidR="00955D30">
              <w:rPr>
                <w:iCs/>
                <w:sz w:val="22"/>
              </w:rPr>
              <w:t>aspirational post-16 pathways for all premium students.</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531"/>
        <w:gridCol w:w="4955"/>
      </w:tblGrid>
      <w:tr w:rsidR="00E66558" w14:paraId="2A7D5503" w14:textId="77777777" w:rsidTr="257587FA">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957ED8" w:rsidRPr="00A322A4" w14:paraId="2DEF55B1" w14:textId="77777777" w:rsidTr="257587FA">
        <w:tc>
          <w:tcPr>
            <w:tcW w:w="4531"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7B749B4" w14:textId="77777777" w:rsidR="00F73613" w:rsidRDefault="00957ED8" w:rsidP="00957ED8">
            <w:pPr>
              <w:pStyle w:val="TableRow"/>
              <w:rPr>
                <w:rFonts w:cs="Arial"/>
                <w:sz w:val="22"/>
                <w:szCs w:val="22"/>
              </w:rPr>
            </w:pPr>
            <w:r w:rsidRPr="00957ED8">
              <w:rPr>
                <w:rFonts w:cs="Arial"/>
                <w:b/>
                <w:bCs/>
                <w:sz w:val="22"/>
                <w:szCs w:val="22"/>
              </w:rPr>
              <w:t>Overall Attainment</w:t>
            </w:r>
            <w:r>
              <w:rPr>
                <w:rFonts w:cs="Arial"/>
                <w:sz w:val="22"/>
                <w:szCs w:val="22"/>
              </w:rPr>
              <w:t xml:space="preserve"> by the end of Year 11 </w:t>
            </w:r>
            <w:r w:rsidRPr="00C4414C">
              <w:rPr>
                <w:rFonts w:cs="Arial"/>
                <w:sz w:val="22"/>
                <w:szCs w:val="22"/>
              </w:rPr>
              <w:t>for disadvantaged students</w:t>
            </w:r>
            <w:r>
              <w:rPr>
                <w:rFonts w:cs="Arial"/>
                <w:sz w:val="22"/>
                <w:szCs w:val="22"/>
              </w:rPr>
              <w:t>, to be in line or above national average in Maths, English and Science.</w:t>
            </w:r>
          </w:p>
          <w:p w14:paraId="5C2DD04F" w14:textId="3F8653E7" w:rsidR="00957ED8" w:rsidRPr="00AA03AE" w:rsidRDefault="00AA03AE" w:rsidP="00957ED8">
            <w:pPr>
              <w:pStyle w:val="TableRow"/>
              <w:rPr>
                <w:rFonts w:cs="Arial"/>
                <w:sz w:val="22"/>
                <w:szCs w:val="22"/>
              </w:rPr>
            </w:pPr>
            <w:r w:rsidRPr="00AA03AE">
              <w:rPr>
                <w:rFonts w:cs="Arial"/>
                <w:sz w:val="22"/>
                <w:szCs w:val="22"/>
              </w:rPr>
              <w:t>Attainment of d</w:t>
            </w:r>
            <w:r w:rsidR="00F73613" w:rsidRPr="00AA03AE">
              <w:rPr>
                <w:rFonts w:cs="Arial"/>
                <w:sz w:val="22"/>
                <w:szCs w:val="22"/>
              </w:rPr>
              <w:t xml:space="preserve">isadvantaged students in Year 10 will </w:t>
            </w:r>
            <w:r w:rsidRPr="00AA03AE">
              <w:rPr>
                <w:rFonts w:cs="Arial"/>
                <w:sz w:val="22"/>
                <w:szCs w:val="22"/>
              </w:rPr>
              <w:t xml:space="preserve">be in line with their non disadvantaged peers in Maths, English and Science. </w:t>
            </w:r>
            <w:r w:rsidR="00F73613" w:rsidRPr="00AA03AE">
              <w:rPr>
                <w:rFonts w:cs="Arial"/>
                <w:sz w:val="22"/>
                <w:szCs w:val="22"/>
              </w:rPr>
              <w:t xml:space="preserve"> </w:t>
            </w:r>
            <w:r w:rsidR="00957ED8" w:rsidRPr="00AA03AE">
              <w:rPr>
                <w:rFonts w:cs="Arial"/>
                <w:sz w:val="22"/>
                <w:szCs w:val="22"/>
              </w:rPr>
              <w:t xml:space="preserve"> </w:t>
            </w:r>
          </w:p>
          <w:p w14:paraId="682E839A" w14:textId="77777777" w:rsidR="00957ED8" w:rsidRPr="00C4414C" w:rsidRDefault="00957ED8" w:rsidP="00C4414C">
            <w:pPr>
              <w:pStyle w:val="TableRow"/>
              <w:rPr>
                <w:rFonts w:cs="Arial"/>
                <w:sz w:val="22"/>
                <w:szCs w:val="22"/>
              </w:rPr>
            </w:pPr>
          </w:p>
        </w:tc>
        <w:tc>
          <w:tcPr>
            <w:tcW w:w="495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7237EE76" w14:textId="77777777" w:rsidR="00957ED8" w:rsidRDefault="00957ED8" w:rsidP="00C4414C">
            <w:pPr>
              <w:pStyle w:val="TableRowCentered"/>
              <w:jc w:val="left"/>
              <w:rPr>
                <w:rFonts w:cs="Arial"/>
                <w:color w:val="auto"/>
                <w:sz w:val="22"/>
                <w:szCs w:val="22"/>
              </w:rPr>
            </w:pPr>
            <w:r>
              <w:rPr>
                <w:rFonts w:cs="Arial"/>
                <w:color w:val="auto"/>
                <w:sz w:val="22"/>
                <w:szCs w:val="22"/>
              </w:rPr>
              <w:t xml:space="preserve">Disadvantaged student attainment to be in line with the performance of non-disadvantaged students. </w:t>
            </w:r>
          </w:p>
          <w:p w14:paraId="5B7B8D7A" w14:textId="4061BE4D" w:rsidR="00957ED8" w:rsidRPr="34723279" w:rsidRDefault="005900DF" w:rsidP="005900DF">
            <w:pPr>
              <w:pStyle w:val="TableRowCentered"/>
              <w:numPr>
                <w:ilvl w:val="0"/>
                <w:numId w:val="28"/>
              </w:numPr>
              <w:jc w:val="left"/>
              <w:rPr>
                <w:rFonts w:cs="Arial"/>
                <w:color w:val="auto"/>
                <w:sz w:val="22"/>
                <w:szCs w:val="22"/>
              </w:rPr>
            </w:pPr>
            <w:r w:rsidRPr="005900DF">
              <w:rPr>
                <w:rFonts w:cs="Arial"/>
                <w:color w:val="auto"/>
                <w:sz w:val="22"/>
                <w:szCs w:val="22"/>
              </w:rPr>
              <w:t>A8 score to be in line with Estimated A8 score.</w:t>
            </w:r>
            <w:r>
              <w:rPr>
                <w:rFonts w:cs="Arial"/>
                <w:color w:val="auto"/>
                <w:sz w:val="22"/>
                <w:szCs w:val="22"/>
              </w:rPr>
              <w:t xml:space="preserve"> </w:t>
            </w:r>
          </w:p>
        </w:tc>
      </w:tr>
      <w:tr w:rsidR="00957ED8" w:rsidRPr="00A322A4" w14:paraId="15D808AD" w14:textId="77777777" w:rsidTr="257587FA">
        <w:tc>
          <w:tcPr>
            <w:tcW w:w="4531"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AC99FEE" w14:textId="3B79A05D" w:rsidR="00957ED8" w:rsidRDefault="00957ED8" w:rsidP="00957ED8">
            <w:pPr>
              <w:pStyle w:val="TableRow"/>
              <w:rPr>
                <w:rFonts w:cs="Arial"/>
                <w:sz w:val="22"/>
                <w:szCs w:val="22"/>
              </w:rPr>
            </w:pPr>
            <w:r w:rsidRPr="00957ED8">
              <w:rPr>
                <w:rFonts w:cs="Arial"/>
                <w:b/>
                <w:bCs/>
                <w:sz w:val="22"/>
                <w:szCs w:val="22"/>
              </w:rPr>
              <w:t xml:space="preserve">Overall Progress </w:t>
            </w:r>
            <w:r>
              <w:rPr>
                <w:rFonts w:cs="Arial"/>
                <w:sz w:val="22"/>
                <w:szCs w:val="22"/>
              </w:rPr>
              <w:t xml:space="preserve">by the end of Year 11 </w:t>
            </w:r>
            <w:r w:rsidRPr="00C4414C">
              <w:rPr>
                <w:rFonts w:cs="Arial"/>
                <w:sz w:val="22"/>
                <w:szCs w:val="22"/>
              </w:rPr>
              <w:t>for disadvantaged students</w:t>
            </w:r>
            <w:r>
              <w:rPr>
                <w:rFonts w:cs="Arial"/>
                <w:sz w:val="22"/>
                <w:szCs w:val="22"/>
              </w:rPr>
              <w:t xml:space="preserve">, to be in line or above national average in Maths, English and Science. </w:t>
            </w:r>
          </w:p>
          <w:p w14:paraId="7DEE8435" w14:textId="5D9476D7" w:rsidR="00AA03AE" w:rsidRPr="00AA03AE" w:rsidRDefault="00AA03AE" w:rsidP="00AA03AE">
            <w:pPr>
              <w:pStyle w:val="TableRow"/>
              <w:rPr>
                <w:rFonts w:cs="Arial"/>
                <w:sz w:val="22"/>
                <w:szCs w:val="22"/>
              </w:rPr>
            </w:pPr>
            <w:r>
              <w:rPr>
                <w:rFonts w:cs="Arial"/>
                <w:sz w:val="22"/>
                <w:szCs w:val="22"/>
              </w:rPr>
              <w:t xml:space="preserve">Progress </w:t>
            </w:r>
            <w:r w:rsidRPr="00AA03AE">
              <w:rPr>
                <w:rFonts w:cs="Arial"/>
                <w:sz w:val="22"/>
                <w:szCs w:val="22"/>
              </w:rPr>
              <w:t xml:space="preserve">of disadvantaged students in Year 10 will be in line with their non disadvantaged peers in Maths, English and Science.   </w:t>
            </w:r>
          </w:p>
          <w:p w14:paraId="27357B4C" w14:textId="77777777" w:rsidR="00957ED8" w:rsidRPr="00C4414C" w:rsidRDefault="00957ED8" w:rsidP="00957ED8">
            <w:pPr>
              <w:pStyle w:val="TableRow"/>
              <w:rPr>
                <w:rFonts w:cs="Arial"/>
                <w:sz w:val="22"/>
                <w:szCs w:val="22"/>
              </w:rPr>
            </w:pPr>
          </w:p>
        </w:tc>
        <w:tc>
          <w:tcPr>
            <w:tcW w:w="495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009AA759" w14:textId="77777777" w:rsidR="00957ED8" w:rsidRDefault="00957ED8" w:rsidP="00C4414C">
            <w:pPr>
              <w:pStyle w:val="TableRowCentered"/>
              <w:jc w:val="left"/>
              <w:rPr>
                <w:rFonts w:cs="Arial"/>
                <w:color w:val="auto"/>
                <w:sz w:val="22"/>
                <w:szCs w:val="22"/>
              </w:rPr>
            </w:pPr>
            <w:r>
              <w:rPr>
                <w:rFonts w:cs="Arial"/>
                <w:color w:val="auto"/>
                <w:sz w:val="22"/>
                <w:szCs w:val="22"/>
              </w:rPr>
              <w:t xml:space="preserve">Overall progress of disadvantaged students to be in line with or above non disadvantaged students. </w:t>
            </w:r>
          </w:p>
          <w:p w14:paraId="322732A4" w14:textId="77777777" w:rsidR="00957ED8" w:rsidRDefault="00957ED8" w:rsidP="00957ED8">
            <w:pPr>
              <w:pStyle w:val="TableRowCentered"/>
              <w:numPr>
                <w:ilvl w:val="0"/>
                <w:numId w:val="25"/>
              </w:numPr>
              <w:jc w:val="left"/>
              <w:rPr>
                <w:rFonts w:cs="Arial"/>
                <w:color w:val="auto"/>
                <w:sz w:val="22"/>
                <w:szCs w:val="22"/>
              </w:rPr>
            </w:pPr>
            <w:r>
              <w:rPr>
                <w:rFonts w:cs="Arial"/>
                <w:color w:val="auto"/>
                <w:sz w:val="22"/>
                <w:szCs w:val="22"/>
              </w:rPr>
              <w:t xml:space="preserve">Progress will be 0.2 for each core subject. </w:t>
            </w:r>
          </w:p>
          <w:p w14:paraId="64E77D53" w14:textId="77777777" w:rsidR="00957ED8" w:rsidRDefault="00957ED8" w:rsidP="00957ED8">
            <w:pPr>
              <w:pStyle w:val="TableRowCentered"/>
              <w:numPr>
                <w:ilvl w:val="0"/>
                <w:numId w:val="25"/>
              </w:numPr>
              <w:jc w:val="left"/>
              <w:rPr>
                <w:rFonts w:cs="Arial"/>
                <w:color w:val="auto"/>
                <w:sz w:val="22"/>
                <w:szCs w:val="22"/>
              </w:rPr>
            </w:pPr>
            <w:r>
              <w:rPr>
                <w:rFonts w:cs="Arial"/>
                <w:color w:val="auto"/>
                <w:sz w:val="22"/>
                <w:szCs w:val="22"/>
              </w:rPr>
              <w:t xml:space="preserve">Progress overall at the Academy to move to a positive P8 of at least 0.2. </w:t>
            </w:r>
          </w:p>
          <w:p w14:paraId="12DF8251" w14:textId="77777777" w:rsidR="00957ED8" w:rsidRDefault="00957ED8" w:rsidP="00957ED8">
            <w:pPr>
              <w:pStyle w:val="TableRowCentered"/>
              <w:numPr>
                <w:ilvl w:val="0"/>
                <w:numId w:val="25"/>
              </w:numPr>
              <w:jc w:val="left"/>
              <w:rPr>
                <w:rFonts w:cs="Arial"/>
                <w:color w:val="auto"/>
                <w:sz w:val="22"/>
                <w:szCs w:val="22"/>
              </w:rPr>
            </w:pPr>
            <w:r>
              <w:rPr>
                <w:rFonts w:cs="Arial"/>
                <w:color w:val="auto"/>
                <w:sz w:val="22"/>
                <w:szCs w:val="22"/>
              </w:rPr>
              <w:t xml:space="preserve">Progress of students within the ‘open bucket subjects’ to be at least 0.2 </w:t>
            </w:r>
          </w:p>
          <w:p w14:paraId="04FB1BF6" w14:textId="657E636A" w:rsidR="00957ED8" w:rsidRDefault="00957ED8" w:rsidP="00957ED8">
            <w:pPr>
              <w:pStyle w:val="TableRowCentered"/>
              <w:numPr>
                <w:ilvl w:val="0"/>
                <w:numId w:val="25"/>
              </w:numPr>
              <w:jc w:val="left"/>
              <w:rPr>
                <w:rFonts w:cs="Arial"/>
                <w:color w:val="auto"/>
                <w:sz w:val="22"/>
                <w:szCs w:val="22"/>
              </w:rPr>
            </w:pPr>
            <w:r>
              <w:rPr>
                <w:rFonts w:cs="Arial"/>
                <w:color w:val="auto"/>
                <w:sz w:val="22"/>
                <w:szCs w:val="22"/>
              </w:rPr>
              <w:t xml:space="preserve">Progress of students in ‘ebacc’ subjects to be at least 0.2. </w:t>
            </w:r>
          </w:p>
          <w:p w14:paraId="3CB8CA80" w14:textId="69177CE1" w:rsidR="00957ED8" w:rsidRDefault="00957ED8" w:rsidP="00957ED8">
            <w:pPr>
              <w:pStyle w:val="TableRowCentered"/>
              <w:numPr>
                <w:ilvl w:val="0"/>
                <w:numId w:val="25"/>
              </w:numPr>
              <w:jc w:val="left"/>
              <w:rPr>
                <w:rFonts w:cs="Arial"/>
                <w:color w:val="auto"/>
                <w:sz w:val="22"/>
                <w:szCs w:val="22"/>
              </w:rPr>
            </w:pPr>
            <w:r>
              <w:rPr>
                <w:rFonts w:cs="Arial"/>
                <w:color w:val="auto"/>
                <w:sz w:val="22"/>
                <w:szCs w:val="22"/>
              </w:rPr>
              <w:t xml:space="preserve">Progress of students in HAP band will improve to at least 0.2. </w:t>
            </w:r>
          </w:p>
          <w:p w14:paraId="49C7ECE6" w14:textId="6F0DF19E" w:rsidR="00957ED8" w:rsidRPr="34723279" w:rsidRDefault="00957ED8" w:rsidP="00C4414C">
            <w:pPr>
              <w:pStyle w:val="TableRowCentered"/>
              <w:jc w:val="left"/>
              <w:rPr>
                <w:rFonts w:cs="Arial"/>
                <w:color w:val="auto"/>
                <w:sz w:val="22"/>
                <w:szCs w:val="22"/>
              </w:rPr>
            </w:pPr>
            <w:r>
              <w:rPr>
                <w:rFonts w:cs="Arial"/>
                <w:color w:val="auto"/>
                <w:sz w:val="22"/>
                <w:szCs w:val="22"/>
              </w:rPr>
              <w:t xml:space="preserve">    </w:t>
            </w:r>
          </w:p>
        </w:tc>
      </w:tr>
      <w:tr w:rsidR="00C4414C" w:rsidRPr="00A322A4" w14:paraId="0B323EE3" w14:textId="77777777" w:rsidTr="257587FA">
        <w:tc>
          <w:tcPr>
            <w:tcW w:w="4531"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315E25F" w14:textId="52955115" w:rsidR="004E5F0B" w:rsidRPr="00C4414C" w:rsidRDefault="00957ED8" w:rsidP="00957ED8">
            <w:pPr>
              <w:pStyle w:val="TableRow"/>
              <w:rPr>
                <w:sz w:val="22"/>
                <w:szCs w:val="22"/>
              </w:rPr>
            </w:pPr>
            <w:r w:rsidRPr="00957ED8">
              <w:rPr>
                <w:rFonts w:cs="Arial"/>
                <w:b/>
                <w:bCs/>
                <w:sz w:val="22"/>
                <w:szCs w:val="22"/>
              </w:rPr>
              <w:t>Progress at the end of KS3</w:t>
            </w:r>
            <w:r>
              <w:rPr>
                <w:rFonts w:cs="Arial"/>
                <w:sz w:val="22"/>
                <w:szCs w:val="22"/>
              </w:rPr>
              <w:t xml:space="preserve"> will demonstrate that students are on track to meet age related expectations. </w:t>
            </w:r>
            <w:r w:rsidR="005900DF">
              <w:rPr>
                <w:rFonts w:cs="Arial"/>
                <w:sz w:val="22"/>
                <w:szCs w:val="22"/>
              </w:rPr>
              <w:t xml:space="preserve">More able students to make progress in line with high expectations. </w:t>
            </w:r>
          </w:p>
        </w:tc>
        <w:tc>
          <w:tcPr>
            <w:tcW w:w="495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336850AB" w14:textId="74F63E59" w:rsidR="005900DF" w:rsidRPr="005900DF" w:rsidRDefault="00C4414C" w:rsidP="00C4414C">
            <w:pPr>
              <w:pStyle w:val="TableRowCentered"/>
              <w:jc w:val="left"/>
              <w:rPr>
                <w:rFonts w:cs="Arial"/>
                <w:color w:val="auto"/>
                <w:sz w:val="22"/>
                <w:szCs w:val="22"/>
              </w:rPr>
            </w:pPr>
            <w:r w:rsidRPr="005900DF">
              <w:rPr>
                <w:rFonts w:cs="Arial"/>
                <w:color w:val="auto"/>
                <w:sz w:val="22"/>
                <w:szCs w:val="22"/>
              </w:rPr>
              <w:t xml:space="preserve">GL Assessments indicate significantly improved progress among disadvantaged students, across Key Stage 3, </w:t>
            </w:r>
            <w:r w:rsidR="6C52C6F2" w:rsidRPr="005900DF">
              <w:rPr>
                <w:rFonts w:cs="Arial"/>
                <w:color w:val="auto"/>
                <w:sz w:val="22"/>
                <w:szCs w:val="22"/>
              </w:rPr>
              <w:t>in</w:t>
            </w:r>
            <w:r w:rsidRPr="005900DF">
              <w:rPr>
                <w:rFonts w:cs="Arial"/>
                <w:color w:val="auto"/>
                <w:sz w:val="22"/>
                <w:szCs w:val="22"/>
              </w:rPr>
              <w:t xml:space="preserve"> English, Maths</w:t>
            </w:r>
            <w:r w:rsidR="473953EB" w:rsidRPr="005900DF">
              <w:rPr>
                <w:rFonts w:cs="Arial"/>
                <w:color w:val="auto"/>
                <w:sz w:val="22"/>
                <w:szCs w:val="22"/>
              </w:rPr>
              <w:t xml:space="preserve"> and </w:t>
            </w:r>
            <w:r w:rsidRPr="005900DF">
              <w:rPr>
                <w:rFonts w:cs="Arial"/>
                <w:color w:val="auto"/>
                <w:sz w:val="22"/>
                <w:szCs w:val="22"/>
              </w:rPr>
              <w:t>Science</w:t>
            </w:r>
            <w:r w:rsidR="00E52712">
              <w:rPr>
                <w:rFonts w:cs="Arial"/>
                <w:color w:val="auto"/>
                <w:sz w:val="22"/>
                <w:szCs w:val="22"/>
              </w:rPr>
              <w:t xml:space="preserve"> (see breakdown of targets by year group below)</w:t>
            </w:r>
            <w:r w:rsidR="1A30EC23" w:rsidRPr="005900DF">
              <w:rPr>
                <w:rFonts w:cs="Arial"/>
                <w:color w:val="auto"/>
                <w:sz w:val="22"/>
                <w:szCs w:val="22"/>
              </w:rPr>
              <w:t xml:space="preserve">. </w:t>
            </w:r>
          </w:p>
          <w:p w14:paraId="41ABEAAB" w14:textId="37F71024" w:rsidR="005900DF" w:rsidRPr="005900DF" w:rsidRDefault="005436F5" w:rsidP="005900DF">
            <w:pPr>
              <w:pStyle w:val="TableRowCentered"/>
              <w:numPr>
                <w:ilvl w:val="0"/>
                <w:numId w:val="29"/>
              </w:numPr>
              <w:jc w:val="left"/>
              <w:rPr>
                <w:rFonts w:cs="Arial"/>
                <w:color w:val="auto"/>
                <w:sz w:val="22"/>
                <w:szCs w:val="22"/>
              </w:rPr>
            </w:pPr>
            <w:r w:rsidRPr="005900DF">
              <w:rPr>
                <w:rFonts w:cs="Arial"/>
                <w:color w:val="auto"/>
                <w:sz w:val="22"/>
                <w:szCs w:val="22"/>
              </w:rPr>
              <w:t xml:space="preserve">GL assessment </w:t>
            </w:r>
            <w:r w:rsidR="003A4F57" w:rsidRPr="005900DF">
              <w:rPr>
                <w:rFonts w:cs="Arial"/>
                <w:color w:val="auto"/>
                <w:sz w:val="22"/>
                <w:szCs w:val="22"/>
              </w:rPr>
              <w:t xml:space="preserve">results </w:t>
            </w:r>
            <w:r w:rsidR="00505DFC" w:rsidRPr="005900DF">
              <w:rPr>
                <w:rFonts w:cs="Arial"/>
                <w:color w:val="auto"/>
                <w:sz w:val="22"/>
                <w:szCs w:val="22"/>
              </w:rPr>
              <w:t xml:space="preserve">in English, maths and science show </w:t>
            </w:r>
            <w:r w:rsidR="005900DF" w:rsidRPr="005900DF">
              <w:rPr>
                <w:rFonts w:cs="Arial"/>
                <w:color w:val="auto"/>
                <w:sz w:val="22"/>
                <w:szCs w:val="22"/>
              </w:rPr>
              <w:t xml:space="preserve">an improvement in </w:t>
            </w:r>
            <w:r w:rsidRPr="005900DF">
              <w:rPr>
                <w:rFonts w:cs="Arial"/>
                <w:color w:val="auto"/>
                <w:sz w:val="22"/>
                <w:szCs w:val="22"/>
              </w:rPr>
              <w:t xml:space="preserve">the percentage of </w:t>
            </w:r>
            <w:r w:rsidR="00505DFC" w:rsidRPr="005900DF">
              <w:rPr>
                <w:rFonts w:cs="Arial"/>
                <w:color w:val="auto"/>
                <w:sz w:val="22"/>
                <w:szCs w:val="22"/>
              </w:rPr>
              <w:t>students</w:t>
            </w:r>
            <w:r w:rsidR="00156D87" w:rsidRPr="005900DF">
              <w:rPr>
                <w:rFonts w:cs="Arial"/>
                <w:color w:val="auto"/>
                <w:sz w:val="22"/>
                <w:szCs w:val="22"/>
              </w:rPr>
              <w:t xml:space="preserve"> </w:t>
            </w:r>
            <w:r w:rsidR="003F24EE" w:rsidRPr="005900DF">
              <w:rPr>
                <w:rFonts w:cs="Arial"/>
                <w:color w:val="auto"/>
                <w:sz w:val="22"/>
                <w:szCs w:val="22"/>
              </w:rPr>
              <w:t xml:space="preserve">achieving </w:t>
            </w:r>
            <w:r w:rsidR="00236E42" w:rsidRPr="005900DF">
              <w:rPr>
                <w:rFonts w:cs="Arial"/>
                <w:color w:val="auto"/>
                <w:sz w:val="22"/>
                <w:szCs w:val="22"/>
              </w:rPr>
              <w:t xml:space="preserve">in line </w:t>
            </w:r>
            <w:r w:rsidR="005900DF" w:rsidRPr="005900DF">
              <w:rPr>
                <w:rFonts w:cs="Arial"/>
                <w:color w:val="auto"/>
                <w:sz w:val="22"/>
                <w:szCs w:val="22"/>
              </w:rPr>
              <w:t>with or</w:t>
            </w:r>
            <w:r w:rsidR="00873F7D" w:rsidRPr="005900DF">
              <w:rPr>
                <w:rFonts w:cs="Arial"/>
                <w:color w:val="auto"/>
                <w:sz w:val="22"/>
                <w:szCs w:val="22"/>
              </w:rPr>
              <w:t xml:space="preserve"> e</w:t>
            </w:r>
            <w:r w:rsidR="00577907" w:rsidRPr="005900DF">
              <w:rPr>
                <w:rFonts w:cs="Arial"/>
                <w:color w:val="auto"/>
                <w:sz w:val="22"/>
                <w:szCs w:val="22"/>
              </w:rPr>
              <w:t xml:space="preserve">xceeding </w:t>
            </w:r>
            <w:r w:rsidR="00156D87" w:rsidRPr="005900DF">
              <w:rPr>
                <w:rFonts w:cs="Arial"/>
                <w:color w:val="auto"/>
                <w:sz w:val="22"/>
                <w:szCs w:val="22"/>
              </w:rPr>
              <w:t>National average</w:t>
            </w:r>
            <w:r w:rsidR="00236E42" w:rsidRPr="005900DF">
              <w:rPr>
                <w:rFonts w:cs="Arial"/>
                <w:color w:val="auto"/>
                <w:sz w:val="22"/>
                <w:szCs w:val="22"/>
              </w:rPr>
              <w:t>s</w:t>
            </w:r>
            <w:r w:rsidR="00DE014D" w:rsidRPr="005900DF">
              <w:rPr>
                <w:rFonts w:cs="Arial"/>
                <w:color w:val="auto"/>
                <w:sz w:val="22"/>
                <w:szCs w:val="22"/>
              </w:rPr>
              <w:t xml:space="preserve"> </w:t>
            </w:r>
            <w:r w:rsidR="005900DF" w:rsidRPr="005900DF">
              <w:rPr>
                <w:rFonts w:cs="Arial"/>
                <w:color w:val="auto"/>
                <w:sz w:val="22"/>
                <w:szCs w:val="22"/>
              </w:rPr>
              <w:t>in 2022</w:t>
            </w:r>
            <w:r w:rsidR="00DE014D" w:rsidRPr="005900DF">
              <w:rPr>
                <w:rFonts w:cs="Arial"/>
                <w:color w:val="auto"/>
                <w:sz w:val="22"/>
                <w:szCs w:val="22"/>
              </w:rPr>
              <w:t>/2</w:t>
            </w:r>
            <w:r w:rsidR="00957ED8" w:rsidRPr="005900DF">
              <w:rPr>
                <w:rFonts w:cs="Arial"/>
                <w:color w:val="auto"/>
                <w:sz w:val="22"/>
                <w:szCs w:val="22"/>
              </w:rPr>
              <w:t>3</w:t>
            </w:r>
            <w:r w:rsidR="005900DF" w:rsidRPr="005900DF">
              <w:rPr>
                <w:rFonts w:cs="Arial"/>
                <w:color w:val="auto"/>
                <w:sz w:val="22"/>
                <w:szCs w:val="22"/>
              </w:rPr>
              <w:t xml:space="preserve">.   </w:t>
            </w:r>
          </w:p>
          <w:p w14:paraId="51108AAA" w14:textId="06FE60BB" w:rsidR="00575DC8" w:rsidRPr="005900DF" w:rsidRDefault="005900DF" w:rsidP="005900DF">
            <w:pPr>
              <w:pStyle w:val="TableRowCentered"/>
              <w:numPr>
                <w:ilvl w:val="0"/>
                <w:numId w:val="29"/>
              </w:numPr>
              <w:jc w:val="left"/>
              <w:rPr>
                <w:rFonts w:cs="Arial"/>
                <w:color w:val="auto"/>
                <w:sz w:val="22"/>
                <w:szCs w:val="22"/>
              </w:rPr>
            </w:pPr>
            <w:r w:rsidRPr="005900DF">
              <w:rPr>
                <w:rFonts w:cs="Arial"/>
                <w:color w:val="auto"/>
                <w:sz w:val="22"/>
                <w:szCs w:val="22"/>
              </w:rPr>
              <w:t xml:space="preserve">The percentage of disadvantaged students in the lowest two bands (Below Average and Very Low) reduces in 2022/23 in </w:t>
            </w:r>
            <w:r w:rsidRPr="005900DF">
              <w:rPr>
                <w:rFonts w:cs="Arial"/>
                <w:color w:val="auto"/>
                <w:sz w:val="22"/>
                <w:szCs w:val="22"/>
              </w:rPr>
              <w:lastRenderedPageBreak/>
              <w:t>English, Maths and Science.</w:t>
            </w:r>
            <w:r w:rsidR="00055E52">
              <w:rPr>
                <w:rFonts w:cs="Arial"/>
                <w:color w:val="auto"/>
                <w:sz w:val="22"/>
                <w:szCs w:val="22"/>
              </w:rPr>
              <w:t xml:space="preserve"> </w:t>
            </w:r>
            <w:r w:rsidR="00055E52">
              <w:rPr>
                <w:rFonts w:cs="Arial"/>
                <w:color w:val="auto"/>
                <w:sz w:val="22"/>
                <w:szCs w:val="22"/>
              </w:rPr>
              <w:t>(</w:t>
            </w:r>
            <w:proofErr w:type="gramStart"/>
            <w:r w:rsidR="00055E52">
              <w:rPr>
                <w:rFonts w:cs="Arial"/>
                <w:color w:val="auto"/>
                <w:sz w:val="22"/>
                <w:szCs w:val="22"/>
              </w:rPr>
              <w:t>see</w:t>
            </w:r>
            <w:proofErr w:type="gramEnd"/>
            <w:r w:rsidR="00055E52">
              <w:rPr>
                <w:rFonts w:cs="Arial"/>
                <w:color w:val="auto"/>
                <w:sz w:val="22"/>
                <w:szCs w:val="22"/>
              </w:rPr>
              <w:t xml:space="preserve"> breakdown of targets by year group below)</w:t>
            </w:r>
            <w:r w:rsidR="00156D87" w:rsidRPr="005900DF">
              <w:rPr>
                <w:rFonts w:cs="Arial"/>
                <w:color w:val="auto"/>
                <w:sz w:val="22"/>
                <w:szCs w:val="22"/>
              </w:rPr>
              <w:t xml:space="preserve"> </w:t>
            </w:r>
            <w:r w:rsidR="00575DC8" w:rsidRPr="005900DF">
              <w:rPr>
                <w:rFonts w:cs="Arial"/>
                <w:color w:val="auto"/>
                <w:sz w:val="22"/>
                <w:szCs w:val="22"/>
              </w:rPr>
              <w:t xml:space="preserve"> </w:t>
            </w:r>
          </w:p>
          <w:p w14:paraId="68E386D4" w14:textId="7F52CC8D" w:rsidR="00873BBC" w:rsidRPr="005900DF" w:rsidRDefault="00873BBC" w:rsidP="0092532D">
            <w:pPr>
              <w:pStyle w:val="TableRow"/>
              <w:spacing w:before="0" w:after="0"/>
              <w:rPr>
                <w:sz w:val="16"/>
                <w:szCs w:val="16"/>
                <w:u w:val="single"/>
              </w:rPr>
            </w:pPr>
          </w:p>
          <w:p w14:paraId="78FB0D4E" w14:textId="77777777" w:rsidR="005900DF" w:rsidRDefault="005900DF" w:rsidP="0092532D">
            <w:pPr>
              <w:pStyle w:val="TableRow"/>
              <w:spacing w:before="0" w:after="0"/>
              <w:rPr>
                <w:b/>
                <w:bCs/>
                <w:sz w:val="22"/>
                <w:szCs w:val="22"/>
                <w:u w:val="single"/>
              </w:rPr>
            </w:pPr>
          </w:p>
          <w:p w14:paraId="249F5416" w14:textId="77777777" w:rsidR="005900DF" w:rsidRDefault="005900DF" w:rsidP="0092532D">
            <w:pPr>
              <w:pStyle w:val="TableRow"/>
              <w:spacing w:before="0" w:after="0"/>
              <w:rPr>
                <w:b/>
                <w:bCs/>
                <w:sz w:val="22"/>
                <w:szCs w:val="22"/>
                <w:u w:val="single"/>
              </w:rPr>
            </w:pPr>
          </w:p>
          <w:p w14:paraId="632F475A" w14:textId="77777777" w:rsidR="005900DF" w:rsidRDefault="005900DF" w:rsidP="0092532D">
            <w:pPr>
              <w:pStyle w:val="TableRow"/>
              <w:spacing w:before="0" w:after="0"/>
              <w:rPr>
                <w:b/>
                <w:bCs/>
                <w:sz w:val="22"/>
                <w:szCs w:val="22"/>
                <w:u w:val="single"/>
              </w:rPr>
            </w:pPr>
          </w:p>
          <w:p w14:paraId="73624204" w14:textId="0F69A6C3" w:rsidR="00957ED8" w:rsidRPr="005900DF" w:rsidRDefault="00957ED8" w:rsidP="005900DF">
            <w:pPr>
              <w:pStyle w:val="TableRow"/>
              <w:spacing w:before="0" w:after="0"/>
              <w:ind w:left="0"/>
              <w:rPr>
                <w:b/>
                <w:bCs/>
                <w:sz w:val="16"/>
                <w:szCs w:val="16"/>
                <w:u w:val="single"/>
              </w:rPr>
            </w:pPr>
            <w:r w:rsidRPr="005900DF">
              <w:rPr>
                <w:b/>
                <w:bCs/>
                <w:sz w:val="16"/>
                <w:szCs w:val="16"/>
                <w:u w:val="single"/>
              </w:rPr>
              <w:t xml:space="preserve">English </w:t>
            </w:r>
          </w:p>
          <w:p w14:paraId="2F524350" w14:textId="52EECBDF" w:rsidR="00957ED8" w:rsidRPr="005900DF" w:rsidRDefault="00957ED8" w:rsidP="005900DF">
            <w:pPr>
              <w:pStyle w:val="TableRow"/>
              <w:numPr>
                <w:ilvl w:val="0"/>
                <w:numId w:val="29"/>
              </w:numPr>
              <w:spacing w:before="0" w:after="0"/>
              <w:ind w:left="360"/>
              <w:rPr>
                <w:sz w:val="16"/>
                <w:szCs w:val="16"/>
              </w:rPr>
            </w:pPr>
            <w:r w:rsidRPr="000D78E5">
              <w:rPr>
                <w:b/>
                <w:bCs/>
                <w:sz w:val="16"/>
                <w:szCs w:val="16"/>
                <w:u w:val="single"/>
              </w:rPr>
              <w:t>Year 7</w:t>
            </w:r>
            <w:r w:rsidR="005900DF" w:rsidRPr="000D78E5">
              <w:rPr>
                <w:b/>
                <w:bCs/>
                <w:sz w:val="16"/>
                <w:szCs w:val="16"/>
                <w:u w:val="single"/>
              </w:rPr>
              <w:t>-</w:t>
            </w:r>
            <w:r w:rsidR="005900DF" w:rsidRPr="005900DF">
              <w:rPr>
                <w:sz w:val="16"/>
                <w:szCs w:val="16"/>
              </w:rPr>
              <w:t xml:space="preserve"> the percentage of </w:t>
            </w:r>
            <w:r w:rsidR="005900DF">
              <w:rPr>
                <w:sz w:val="16"/>
                <w:szCs w:val="16"/>
              </w:rPr>
              <w:t xml:space="preserve">disadvantaged </w:t>
            </w:r>
            <w:r w:rsidR="005900DF" w:rsidRPr="005900DF">
              <w:rPr>
                <w:sz w:val="16"/>
                <w:szCs w:val="16"/>
              </w:rPr>
              <w:t xml:space="preserve">students in the lowest two bands at least equals national average. </w:t>
            </w:r>
          </w:p>
          <w:p w14:paraId="7D5CA2D0" w14:textId="6A50DACE" w:rsidR="00957ED8" w:rsidRPr="005900DF" w:rsidRDefault="00957ED8" w:rsidP="005900DF">
            <w:pPr>
              <w:pStyle w:val="TableRow"/>
              <w:numPr>
                <w:ilvl w:val="0"/>
                <w:numId w:val="29"/>
              </w:numPr>
              <w:spacing w:before="0" w:after="0"/>
              <w:ind w:left="360"/>
              <w:rPr>
                <w:sz w:val="16"/>
                <w:szCs w:val="16"/>
              </w:rPr>
            </w:pPr>
            <w:r w:rsidRPr="000D78E5">
              <w:rPr>
                <w:b/>
                <w:bCs/>
                <w:sz w:val="16"/>
                <w:szCs w:val="16"/>
                <w:u w:val="single"/>
              </w:rPr>
              <w:t>Year 8</w:t>
            </w:r>
            <w:r w:rsidRPr="005900DF">
              <w:rPr>
                <w:sz w:val="16"/>
                <w:szCs w:val="16"/>
              </w:rPr>
              <w:t xml:space="preserve"> </w:t>
            </w:r>
            <w:r w:rsidR="005900DF" w:rsidRPr="005900DF">
              <w:rPr>
                <w:sz w:val="16"/>
                <w:szCs w:val="16"/>
              </w:rPr>
              <w:t>-the percentage of disadvantaged students in lowest bands reduces by 20%</w:t>
            </w:r>
          </w:p>
          <w:p w14:paraId="267E3410" w14:textId="6B7C1714" w:rsidR="00957ED8" w:rsidRPr="005900DF" w:rsidRDefault="00957ED8" w:rsidP="005900DF">
            <w:pPr>
              <w:pStyle w:val="TableRow"/>
              <w:numPr>
                <w:ilvl w:val="0"/>
                <w:numId w:val="29"/>
              </w:numPr>
              <w:spacing w:before="0" w:after="0"/>
              <w:ind w:left="360"/>
              <w:rPr>
                <w:sz w:val="16"/>
                <w:szCs w:val="16"/>
              </w:rPr>
            </w:pPr>
            <w:r w:rsidRPr="000D78E5">
              <w:rPr>
                <w:b/>
                <w:bCs/>
                <w:sz w:val="16"/>
                <w:szCs w:val="16"/>
                <w:u w:val="single"/>
              </w:rPr>
              <w:t>Year 9</w:t>
            </w:r>
            <w:r w:rsidR="005900DF" w:rsidRPr="000D78E5">
              <w:rPr>
                <w:b/>
                <w:bCs/>
                <w:sz w:val="16"/>
                <w:szCs w:val="16"/>
              </w:rPr>
              <w:t>-</w:t>
            </w:r>
            <w:r w:rsidRPr="005900DF">
              <w:rPr>
                <w:sz w:val="16"/>
                <w:szCs w:val="16"/>
              </w:rPr>
              <w:t xml:space="preserve"> </w:t>
            </w:r>
            <w:r w:rsidR="005900DF" w:rsidRPr="005900DF">
              <w:rPr>
                <w:sz w:val="16"/>
                <w:szCs w:val="16"/>
              </w:rPr>
              <w:t>the percentage of disadvantaged students in lowest bands reduces by 20%</w:t>
            </w:r>
            <w:r w:rsidRPr="005900DF">
              <w:rPr>
                <w:sz w:val="16"/>
                <w:szCs w:val="16"/>
              </w:rPr>
              <w:t xml:space="preserve"> </w:t>
            </w:r>
          </w:p>
          <w:p w14:paraId="2472B876" w14:textId="601B4702" w:rsidR="00957ED8" w:rsidRPr="005900DF" w:rsidRDefault="00957ED8" w:rsidP="005900DF">
            <w:pPr>
              <w:pStyle w:val="TableRow"/>
              <w:spacing w:before="0" w:after="0"/>
              <w:ind w:left="0"/>
              <w:rPr>
                <w:b/>
                <w:bCs/>
                <w:sz w:val="16"/>
                <w:szCs w:val="16"/>
              </w:rPr>
            </w:pPr>
          </w:p>
          <w:p w14:paraId="117FF4CA" w14:textId="1A0C477F" w:rsidR="00957ED8" w:rsidRPr="005900DF" w:rsidRDefault="00957ED8" w:rsidP="005900DF">
            <w:pPr>
              <w:pStyle w:val="TableRow"/>
              <w:spacing w:before="0" w:after="0"/>
              <w:ind w:left="0"/>
              <w:rPr>
                <w:b/>
                <w:bCs/>
                <w:sz w:val="16"/>
                <w:szCs w:val="16"/>
                <w:u w:val="single"/>
              </w:rPr>
            </w:pPr>
            <w:r w:rsidRPr="005900DF">
              <w:rPr>
                <w:b/>
                <w:bCs/>
                <w:sz w:val="16"/>
                <w:szCs w:val="16"/>
                <w:u w:val="single"/>
              </w:rPr>
              <w:t xml:space="preserve">Maths </w:t>
            </w:r>
          </w:p>
          <w:p w14:paraId="2D307085" w14:textId="46F6937B" w:rsidR="00957ED8" w:rsidRPr="005900DF" w:rsidRDefault="00957ED8" w:rsidP="005900DF">
            <w:pPr>
              <w:pStyle w:val="TableRow"/>
              <w:numPr>
                <w:ilvl w:val="0"/>
                <w:numId w:val="29"/>
              </w:numPr>
              <w:spacing w:before="0" w:after="0"/>
              <w:ind w:left="360"/>
              <w:rPr>
                <w:sz w:val="16"/>
                <w:szCs w:val="16"/>
              </w:rPr>
            </w:pPr>
            <w:r w:rsidRPr="000D78E5">
              <w:rPr>
                <w:b/>
                <w:bCs/>
                <w:sz w:val="16"/>
                <w:szCs w:val="16"/>
                <w:u w:val="single"/>
              </w:rPr>
              <w:t>Year 7</w:t>
            </w:r>
            <w:r w:rsidR="005900DF" w:rsidRPr="005900DF">
              <w:rPr>
                <w:sz w:val="16"/>
                <w:szCs w:val="16"/>
              </w:rPr>
              <w:t>-</w:t>
            </w:r>
            <w:r w:rsidRPr="005900DF">
              <w:rPr>
                <w:sz w:val="16"/>
                <w:szCs w:val="16"/>
              </w:rPr>
              <w:t xml:space="preserve"> </w:t>
            </w:r>
            <w:r w:rsidR="005900DF" w:rsidRPr="005900DF">
              <w:rPr>
                <w:sz w:val="16"/>
                <w:szCs w:val="16"/>
              </w:rPr>
              <w:t xml:space="preserve">the percentage of </w:t>
            </w:r>
            <w:r w:rsidR="005900DF">
              <w:rPr>
                <w:sz w:val="16"/>
                <w:szCs w:val="16"/>
              </w:rPr>
              <w:t xml:space="preserve">disadvantaged </w:t>
            </w:r>
            <w:r w:rsidR="005900DF" w:rsidRPr="005900DF">
              <w:rPr>
                <w:sz w:val="16"/>
                <w:szCs w:val="16"/>
              </w:rPr>
              <w:t xml:space="preserve">students in the lowest two bands at least equals national average. </w:t>
            </w:r>
          </w:p>
          <w:p w14:paraId="762142F8" w14:textId="0366C228" w:rsidR="005900DF" w:rsidRPr="005900DF" w:rsidRDefault="00957ED8" w:rsidP="005900DF">
            <w:pPr>
              <w:pStyle w:val="TableRow"/>
              <w:numPr>
                <w:ilvl w:val="0"/>
                <w:numId w:val="29"/>
              </w:numPr>
              <w:spacing w:before="0" w:after="0"/>
              <w:ind w:left="360"/>
              <w:rPr>
                <w:sz w:val="16"/>
                <w:szCs w:val="16"/>
              </w:rPr>
            </w:pPr>
            <w:r w:rsidRPr="000D78E5">
              <w:rPr>
                <w:b/>
                <w:bCs/>
                <w:sz w:val="16"/>
                <w:szCs w:val="16"/>
                <w:u w:val="single"/>
              </w:rPr>
              <w:t>Year 8</w:t>
            </w:r>
            <w:r w:rsidR="005900DF" w:rsidRPr="005900DF">
              <w:rPr>
                <w:sz w:val="16"/>
                <w:szCs w:val="16"/>
              </w:rPr>
              <w:t xml:space="preserve">- the percentage of disadvantaged students in lowest bands reduces by 10% </w:t>
            </w:r>
          </w:p>
          <w:p w14:paraId="2143C9A1" w14:textId="3B012508" w:rsidR="00957ED8" w:rsidRPr="005900DF" w:rsidRDefault="00957ED8" w:rsidP="005900DF">
            <w:pPr>
              <w:pStyle w:val="TableRow"/>
              <w:numPr>
                <w:ilvl w:val="0"/>
                <w:numId w:val="29"/>
              </w:numPr>
              <w:spacing w:before="0" w:after="0"/>
              <w:ind w:left="360"/>
              <w:rPr>
                <w:sz w:val="16"/>
                <w:szCs w:val="16"/>
              </w:rPr>
            </w:pPr>
            <w:r w:rsidRPr="000D78E5">
              <w:rPr>
                <w:b/>
                <w:bCs/>
                <w:sz w:val="16"/>
                <w:szCs w:val="16"/>
                <w:u w:val="single"/>
              </w:rPr>
              <w:t>Year 9</w:t>
            </w:r>
            <w:r w:rsidR="005900DF" w:rsidRPr="005900DF">
              <w:rPr>
                <w:sz w:val="16"/>
                <w:szCs w:val="16"/>
              </w:rPr>
              <w:t>-</w:t>
            </w:r>
            <w:r w:rsidRPr="005900DF">
              <w:rPr>
                <w:sz w:val="16"/>
                <w:szCs w:val="16"/>
              </w:rPr>
              <w:t xml:space="preserve"> </w:t>
            </w:r>
            <w:r w:rsidR="005900DF" w:rsidRPr="005900DF">
              <w:rPr>
                <w:sz w:val="16"/>
                <w:szCs w:val="16"/>
              </w:rPr>
              <w:t>the percentage of disadvantaged students in lowest bands reduces by 15%</w:t>
            </w:r>
            <w:r w:rsidRPr="005900DF">
              <w:rPr>
                <w:sz w:val="16"/>
                <w:szCs w:val="16"/>
              </w:rPr>
              <w:t xml:space="preserve"> </w:t>
            </w:r>
          </w:p>
          <w:p w14:paraId="2721F593" w14:textId="5CD6D8F3" w:rsidR="00957ED8" w:rsidRPr="005900DF" w:rsidRDefault="00957ED8" w:rsidP="005900DF">
            <w:pPr>
              <w:pStyle w:val="TableRow"/>
              <w:spacing w:before="0" w:after="0"/>
              <w:ind w:left="0"/>
              <w:rPr>
                <w:b/>
                <w:bCs/>
                <w:sz w:val="16"/>
                <w:szCs w:val="16"/>
              </w:rPr>
            </w:pPr>
          </w:p>
          <w:p w14:paraId="394DC63B" w14:textId="409ADF7C" w:rsidR="00957ED8" w:rsidRPr="005900DF" w:rsidRDefault="00957ED8" w:rsidP="005900DF">
            <w:pPr>
              <w:pStyle w:val="TableRow"/>
              <w:spacing w:before="0" w:after="0"/>
              <w:ind w:left="0"/>
              <w:rPr>
                <w:b/>
                <w:bCs/>
                <w:sz w:val="16"/>
                <w:szCs w:val="16"/>
                <w:u w:val="single"/>
              </w:rPr>
            </w:pPr>
            <w:r w:rsidRPr="005900DF">
              <w:rPr>
                <w:b/>
                <w:bCs/>
                <w:sz w:val="16"/>
                <w:szCs w:val="16"/>
                <w:u w:val="single"/>
              </w:rPr>
              <w:t xml:space="preserve">Science </w:t>
            </w:r>
          </w:p>
          <w:p w14:paraId="0ECE3E4C" w14:textId="6D872D80" w:rsidR="00957ED8" w:rsidRPr="005900DF" w:rsidRDefault="00957ED8" w:rsidP="005900DF">
            <w:pPr>
              <w:pStyle w:val="TableRow"/>
              <w:numPr>
                <w:ilvl w:val="0"/>
                <w:numId w:val="29"/>
              </w:numPr>
              <w:spacing w:before="0" w:after="0"/>
              <w:ind w:left="360"/>
              <w:rPr>
                <w:sz w:val="16"/>
                <w:szCs w:val="16"/>
              </w:rPr>
            </w:pPr>
            <w:r w:rsidRPr="000D78E5">
              <w:rPr>
                <w:b/>
                <w:bCs/>
                <w:sz w:val="16"/>
                <w:szCs w:val="16"/>
                <w:u w:val="single"/>
              </w:rPr>
              <w:t>Year 7</w:t>
            </w:r>
            <w:r w:rsidR="005900DF" w:rsidRPr="000D78E5">
              <w:rPr>
                <w:b/>
                <w:bCs/>
                <w:sz w:val="16"/>
                <w:szCs w:val="16"/>
              </w:rPr>
              <w:t>-</w:t>
            </w:r>
            <w:r w:rsidR="005900DF" w:rsidRPr="005900DF">
              <w:rPr>
                <w:sz w:val="16"/>
                <w:szCs w:val="16"/>
              </w:rPr>
              <w:t xml:space="preserve"> the percentage of </w:t>
            </w:r>
            <w:r w:rsidR="005900DF">
              <w:rPr>
                <w:sz w:val="16"/>
                <w:szCs w:val="16"/>
              </w:rPr>
              <w:t xml:space="preserve">disadvantaged </w:t>
            </w:r>
            <w:r w:rsidR="005900DF" w:rsidRPr="005900DF">
              <w:rPr>
                <w:sz w:val="16"/>
                <w:szCs w:val="16"/>
              </w:rPr>
              <w:t xml:space="preserve">students in the lowest two bands at least equals national average. </w:t>
            </w:r>
            <w:r w:rsidRPr="005900DF">
              <w:rPr>
                <w:sz w:val="16"/>
                <w:szCs w:val="16"/>
              </w:rPr>
              <w:t xml:space="preserve"> </w:t>
            </w:r>
          </w:p>
          <w:p w14:paraId="2F140274" w14:textId="6E8253BF" w:rsidR="00957ED8" w:rsidRPr="005900DF" w:rsidRDefault="00957ED8" w:rsidP="005900DF">
            <w:pPr>
              <w:pStyle w:val="TableRow"/>
              <w:numPr>
                <w:ilvl w:val="0"/>
                <w:numId w:val="29"/>
              </w:numPr>
              <w:spacing w:before="0" w:after="0"/>
              <w:ind w:left="360"/>
              <w:rPr>
                <w:sz w:val="16"/>
                <w:szCs w:val="16"/>
              </w:rPr>
            </w:pPr>
            <w:r w:rsidRPr="000D78E5">
              <w:rPr>
                <w:b/>
                <w:bCs/>
                <w:sz w:val="16"/>
                <w:szCs w:val="16"/>
                <w:u w:val="single"/>
              </w:rPr>
              <w:t>Year 9</w:t>
            </w:r>
            <w:r w:rsidR="005900DF" w:rsidRPr="000D78E5">
              <w:rPr>
                <w:b/>
                <w:bCs/>
                <w:sz w:val="16"/>
                <w:szCs w:val="16"/>
                <w:u w:val="single"/>
              </w:rPr>
              <w:t>-</w:t>
            </w:r>
            <w:r w:rsidR="005900DF" w:rsidRPr="005900DF">
              <w:rPr>
                <w:sz w:val="16"/>
                <w:szCs w:val="16"/>
              </w:rPr>
              <w:t xml:space="preserve"> the percentage of students in the lowest two bands at least equals national average</w:t>
            </w:r>
            <w:r w:rsidR="000D78E5">
              <w:rPr>
                <w:sz w:val="16"/>
                <w:szCs w:val="16"/>
              </w:rPr>
              <w:t xml:space="preserve"> (and has decreased from Y7 baseline)</w:t>
            </w:r>
            <w:r w:rsidR="005900DF" w:rsidRPr="005900DF">
              <w:rPr>
                <w:sz w:val="16"/>
                <w:szCs w:val="16"/>
              </w:rPr>
              <w:t xml:space="preserve">. </w:t>
            </w:r>
            <w:r w:rsidRPr="005900DF">
              <w:rPr>
                <w:sz w:val="16"/>
                <w:szCs w:val="16"/>
              </w:rPr>
              <w:t xml:space="preserve">  </w:t>
            </w:r>
          </w:p>
          <w:p w14:paraId="107C6227" w14:textId="77777777" w:rsidR="00957ED8" w:rsidRPr="005900DF" w:rsidRDefault="00957ED8" w:rsidP="0092532D">
            <w:pPr>
              <w:pStyle w:val="TableRow"/>
              <w:spacing w:before="0" w:after="0"/>
              <w:rPr>
                <w:b/>
                <w:bCs/>
                <w:sz w:val="22"/>
                <w:szCs w:val="22"/>
                <w:u w:val="single"/>
              </w:rPr>
            </w:pPr>
          </w:p>
          <w:p w14:paraId="599A300D" w14:textId="4920C344" w:rsidR="00C4414C" w:rsidRPr="005900DF" w:rsidRDefault="00C4414C" w:rsidP="00E62209">
            <w:pPr>
              <w:pStyle w:val="TableRow"/>
              <w:spacing w:before="0" w:after="0"/>
              <w:rPr>
                <w:sz w:val="22"/>
                <w:szCs w:val="22"/>
                <w:lang w:val="fr-FR"/>
              </w:rPr>
            </w:pPr>
          </w:p>
        </w:tc>
      </w:tr>
      <w:tr w:rsidR="00C4414C" w14:paraId="2A7D5506" w14:textId="77777777" w:rsidTr="257587FA">
        <w:tc>
          <w:tcPr>
            <w:tcW w:w="4531"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F2A478D" w14:textId="7084BFEA" w:rsidR="004E5F0B" w:rsidRDefault="00957ED8" w:rsidP="00C4414C">
            <w:pPr>
              <w:pStyle w:val="TableRow"/>
              <w:rPr>
                <w:rFonts w:cs="Arial"/>
                <w:sz w:val="22"/>
                <w:szCs w:val="22"/>
              </w:rPr>
            </w:pPr>
            <w:r w:rsidRPr="00957ED8">
              <w:rPr>
                <w:rFonts w:cs="Arial"/>
                <w:b/>
                <w:bCs/>
                <w:sz w:val="22"/>
                <w:szCs w:val="22"/>
              </w:rPr>
              <w:lastRenderedPageBreak/>
              <w:t xml:space="preserve">Reading </w:t>
            </w:r>
            <w:r>
              <w:rPr>
                <w:rFonts w:cs="Arial"/>
                <w:sz w:val="22"/>
                <w:szCs w:val="22"/>
              </w:rPr>
              <w:t xml:space="preserve">ages of disadvantaged students to show an improvement in relation to their chronological reading age, an improvement in SAS and </w:t>
            </w:r>
            <w:r w:rsidR="005900DF">
              <w:rPr>
                <w:rFonts w:cs="Arial"/>
                <w:sz w:val="22"/>
                <w:szCs w:val="22"/>
              </w:rPr>
              <w:t xml:space="preserve">most importantly </w:t>
            </w:r>
            <w:r>
              <w:rPr>
                <w:rFonts w:cs="Arial"/>
                <w:sz w:val="22"/>
                <w:szCs w:val="22"/>
              </w:rPr>
              <w:t xml:space="preserve">a reduction in the number of disadvantaged students in the lowest 20% (in 2022-2023). </w:t>
            </w:r>
          </w:p>
          <w:p w14:paraId="67E50896" w14:textId="77777777" w:rsidR="00F42C57" w:rsidRDefault="00F42C57" w:rsidP="004E5F0B">
            <w:pPr>
              <w:pStyle w:val="TableRow"/>
              <w:rPr>
                <w:sz w:val="18"/>
                <w:szCs w:val="18"/>
              </w:rPr>
            </w:pPr>
          </w:p>
          <w:p w14:paraId="5C861C79" w14:textId="77777777" w:rsidR="00F42C57" w:rsidRDefault="00F42C57" w:rsidP="004E5F0B">
            <w:pPr>
              <w:pStyle w:val="TableRow"/>
              <w:rPr>
                <w:sz w:val="18"/>
                <w:szCs w:val="18"/>
              </w:rPr>
            </w:pPr>
          </w:p>
          <w:p w14:paraId="1D193297" w14:textId="77777777" w:rsidR="00F42C57" w:rsidRDefault="00F42C57" w:rsidP="004E5F0B">
            <w:pPr>
              <w:pStyle w:val="TableRow"/>
              <w:rPr>
                <w:sz w:val="18"/>
                <w:szCs w:val="18"/>
              </w:rPr>
            </w:pPr>
          </w:p>
          <w:p w14:paraId="2A7D5504" w14:textId="1FFF3822" w:rsidR="00F42C57" w:rsidRPr="00C4414C" w:rsidRDefault="00F42C57" w:rsidP="004E5F0B">
            <w:pPr>
              <w:pStyle w:val="TableRow"/>
              <w:rPr>
                <w:sz w:val="22"/>
                <w:szCs w:val="22"/>
              </w:rPr>
            </w:pPr>
          </w:p>
        </w:tc>
        <w:tc>
          <w:tcPr>
            <w:tcW w:w="495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08496A4A" w14:textId="75E96DC6" w:rsidR="005900DF" w:rsidRDefault="00957ED8" w:rsidP="00957ED8">
            <w:pPr>
              <w:pStyle w:val="TableRowCentered"/>
              <w:ind w:left="0"/>
              <w:jc w:val="left"/>
              <w:rPr>
                <w:rFonts w:cs="Arial"/>
                <w:sz w:val="22"/>
                <w:szCs w:val="22"/>
              </w:rPr>
            </w:pPr>
            <w:r>
              <w:rPr>
                <w:rFonts w:cs="Arial"/>
                <w:sz w:val="22"/>
                <w:szCs w:val="22"/>
              </w:rPr>
              <w:t xml:space="preserve">Reading ages will improve as a result of reading strategies utilised across the Academy. </w:t>
            </w:r>
          </w:p>
          <w:p w14:paraId="1A0C4AB6" w14:textId="6903B9B7" w:rsidR="00957ED8" w:rsidRDefault="00957ED8" w:rsidP="00957ED8">
            <w:pPr>
              <w:pStyle w:val="TableRowCentered"/>
              <w:ind w:left="0"/>
              <w:jc w:val="left"/>
              <w:rPr>
                <w:rFonts w:cs="Arial"/>
                <w:sz w:val="22"/>
                <w:szCs w:val="22"/>
              </w:rPr>
            </w:pPr>
            <w:r>
              <w:rPr>
                <w:rFonts w:cs="Arial"/>
                <w:sz w:val="22"/>
                <w:szCs w:val="22"/>
              </w:rPr>
              <w:t xml:space="preserve">The number of disadvantaged students falling into </w:t>
            </w:r>
            <w:r w:rsidRPr="005900DF">
              <w:rPr>
                <w:rFonts w:cs="Arial"/>
                <w:sz w:val="22"/>
                <w:szCs w:val="22"/>
              </w:rPr>
              <w:t xml:space="preserve">the lowest bands will reduce in 2022/23 </w:t>
            </w:r>
            <w:r w:rsidR="005900DF" w:rsidRPr="005900DF">
              <w:rPr>
                <w:rFonts w:cs="Arial"/>
                <w:sz w:val="22"/>
                <w:szCs w:val="22"/>
              </w:rPr>
              <w:t xml:space="preserve">as demosntarted </w:t>
            </w:r>
            <w:r w:rsidRPr="005900DF">
              <w:rPr>
                <w:rFonts w:cs="Arial"/>
                <w:sz w:val="22"/>
                <w:szCs w:val="22"/>
              </w:rPr>
              <w:t>by</w:t>
            </w:r>
            <w:r w:rsidR="005900DF" w:rsidRPr="005900DF">
              <w:rPr>
                <w:rFonts w:cs="Arial"/>
                <w:sz w:val="22"/>
                <w:szCs w:val="22"/>
              </w:rPr>
              <w:t>:</w:t>
            </w:r>
          </w:p>
          <w:p w14:paraId="64978129" w14:textId="023D16BB" w:rsidR="003506A2" w:rsidRPr="005900DF" w:rsidRDefault="00957ED8" w:rsidP="005900DF">
            <w:pPr>
              <w:pStyle w:val="TableRow"/>
              <w:numPr>
                <w:ilvl w:val="0"/>
                <w:numId w:val="30"/>
              </w:numPr>
              <w:rPr>
                <w:b/>
                <w:bCs/>
                <w:sz w:val="16"/>
                <w:szCs w:val="16"/>
                <w:u w:val="single"/>
              </w:rPr>
            </w:pPr>
            <w:r w:rsidRPr="005900DF">
              <w:rPr>
                <w:b/>
                <w:bCs/>
                <w:sz w:val="16"/>
                <w:szCs w:val="16"/>
                <w:u w:val="single"/>
              </w:rPr>
              <w:t xml:space="preserve">Year 7 </w:t>
            </w:r>
            <w:r w:rsidR="005900DF" w:rsidRPr="005900DF">
              <w:rPr>
                <w:sz w:val="16"/>
                <w:szCs w:val="16"/>
              </w:rPr>
              <w:t>-</w:t>
            </w:r>
            <w:r w:rsidR="007473D8" w:rsidRPr="005900DF">
              <w:rPr>
                <w:sz w:val="16"/>
                <w:szCs w:val="16"/>
              </w:rPr>
              <w:t>1</w:t>
            </w:r>
            <w:r w:rsidR="007473D8">
              <w:rPr>
                <w:sz w:val="16"/>
                <w:szCs w:val="16"/>
              </w:rPr>
              <w:t>5</w:t>
            </w:r>
            <w:r w:rsidR="007473D8" w:rsidRPr="005900DF">
              <w:rPr>
                <w:sz w:val="16"/>
                <w:szCs w:val="16"/>
              </w:rPr>
              <w:t>% reduction in the percentage of disadvantaged students falling into the lowest two bands.</w:t>
            </w:r>
            <w:r w:rsidR="007473D8" w:rsidRPr="005900DF">
              <w:rPr>
                <w:b/>
                <w:bCs/>
                <w:sz w:val="16"/>
                <w:szCs w:val="16"/>
                <w:u w:val="single"/>
              </w:rPr>
              <w:t xml:space="preserve">   </w:t>
            </w:r>
            <w:r w:rsidR="005900DF" w:rsidRPr="005900DF">
              <w:rPr>
                <w:b/>
                <w:bCs/>
                <w:sz w:val="16"/>
                <w:szCs w:val="16"/>
                <w:u w:val="single"/>
              </w:rPr>
              <w:t xml:space="preserve"> </w:t>
            </w:r>
          </w:p>
          <w:p w14:paraId="123B1616" w14:textId="75DAF256" w:rsidR="00957ED8" w:rsidRPr="005900DF" w:rsidRDefault="00957ED8" w:rsidP="005900DF">
            <w:pPr>
              <w:pStyle w:val="TableRow"/>
              <w:numPr>
                <w:ilvl w:val="0"/>
                <w:numId w:val="30"/>
              </w:numPr>
              <w:rPr>
                <w:b/>
                <w:bCs/>
                <w:sz w:val="16"/>
                <w:szCs w:val="16"/>
                <w:u w:val="single"/>
              </w:rPr>
            </w:pPr>
            <w:r w:rsidRPr="005900DF">
              <w:rPr>
                <w:b/>
                <w:bCs/>
                <w:sz w:val="16"/>
                <w:szCs w:val="16"/>
                <w:u w:val="single"/>
              </w:rPr>
              <w:t>Year 8</w:t>
            </w:r>
            <w:r w:rsidR="005900DF" w:rsidRPr="005900DF">
              <w:rPr>
                <w:sz w:val="16"/>
                <w:szCs w:val="16"/>
              </w:rPr>
              <w:t>-1</w:t>
            </w:r>
            <w:r w:rsidR="005900DF">
              <w:rPr>
                <w:sz w:val="16"/>
                <w:szCs w:val="16"/>
              </w:rPr>
              <w:t>5</w:t>
            </w:r>
            <w:r w:rsidR="005900DF" w:rsidRPr="005900DF">
              <w:rPr>
                <w:sz w:val="16"/>
                <w:szCs w:val="16"/>
              </w:rPr>
              <w:t>% reduction in the percentage of disadvantaged students falling into the lowest two bands.</w:t>
            </w:r>
            <w:r w:rsidR="005900DF" w:rsidRPr="005900DF">
              <w:rPr>
                <w:b/>
                <w:bCs/>
                <w:sz w:val="16"/>
                <w:szCs w:val="16"/>
                <w:u w:val="single"/>
              </w:rPr>
              <w:t xml:space="preserve">  </w:t>
            </w:r>
            <w:r w:rsidRPr="005900DF">
              <w:rPr>
                <w:b/>
                <w:bCs/>
                <w:sz w:val="16"/>
                <w:szCs w:val="16"/>
                <w:u w:val="single"/>
              </w:rPr>
              <w:t xml:space="preserve"> </w:t>
            </w:r>
          </w:p>
          <w:p w14:paraId="2A7D5505" w14:textId="5DA04A14" w:rsidR="00957ED8" w:rsidRPr="00C4414C" w:rsidRDefault="00957ED8" w:rsidP="005900DF">
            <w:pPr>
              <w:pStyle w:val="TableRow"/>
              <w:numPr>
                <w:ilvl w:val="0"/>
                <w:numId w:val="30"/>
              </w:numPr>
              <w:rPr>
                <w:sz w:val="22"/>
                <w:szCs w:val="22"/>
              </w:rPr>
            </w:pPr>
            <w:r w:rsidRPr="005900DF">
              <w:rPr>
                <w:b/>
                <w:bCs/>
                <w:sz w:val="16"/>
                <w:szCs w:val="16"/>
                <w:u w:val="single"/>
              </w:rPr>
              <w:t>Year 9</w:t>
            </w:r>
            <w:r w:rsidR="005900DF" w:rsidRPr="005900DF">
              <w:rPr>
                <w:b/>
                <w:bCs/>
                <w:sz w:val="16"/>
                <w:szCs w:val="16"/>
                <w:u w:val="single"/>
              </w:rPr>
              <w:t>-</w:t>
            </w:r>
            <w:r w:rsidR="005900DF" w:rsidRPr="005900DF">
              <w:rPr>
                <w:sz w:val="16"/>
                <w:szCs w:val="16"/>
              </w:rPr>
              <w:t xml:space="preserve"> 10% reduction in the percentage of disadvantaged students falling into the lowest two bands.</w:t>
            </w:r>
            <w:r w:rsidR="005900DF">
              <w:rPr>
                <w:b/>
                <w:bCs/>
                <w:sz w:val="22"/>
                <w:szCs w:val="22"/>
                <w:u w:val="single"/>
              </w:rPr>
              <w:t xml:space="preserve">  </w:t>
            </w:r>
            <w:r w:rsidR="005900DF" w:rsidRPr="005900DF">
              <w:rPr>
                <w:b/>
                <w:bCs/>
                <w:sz w:val="22"/>
                <w:szCs w:val="22"/>
                <w:u w:val="single"/>
              </w:rPr>
              <w:t xml:space="preserve"> </w:t>
            </w:r>
            <w:r>
              <w:rPr>
                <w:sz w:val="22"/>
                <w:szCs w:val="22"/>
              </w:rPr>
              <w:t xml:space="preserve"> </w:t>
            </w:r>
          </w:p>
        </w:tc>
      </w:tr>
      <w:tr w:rsidR="00C4414C" w14:paraId="40E8D580" w14:textId="77777777" w:rsidTr="257587FA">
        <w:tc>
          <w:tcPr>
            <w:tcW w:w="4531"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B0AA4D4" w14:textId="52555A62" w:rsidR="004E5F0B" w:rsidRDefault="00C4414C" w:rsidP="00C4414C">
            <w:pPr>
              <w:pStyle w:val="TableRow"/>
              <w:rPr>
                <w:rFonts w:cs="Arial"/>
                <w:sz w:val="22"/>
                <w:szCs w:val="22"/>
              </w:rPr>
            </w:pPr>
            <w:r w:rsidRPr="005900DF">
              <w:rPr>
                <w:rFonts w:cs="Arial"/>
                <w:b/>
                <w:bCs/>
                <w:sz w:val="22"/>
                <w:szCs w:val="22"/>
              </w:rPr>
              <w:t>To improved attendance</w:t>
            </w:r>
            <w:r w:rsidRPr="00C4414C">
              <w:rPr>
                <w:rFonts w:cs="Arial"/>
                <w:sz w:val="22"/>
                <w:szCs w:val="22"/>
              </w:rPr>
              <w:t xml:space="preserve"> and reduced persistent absence for </w:t>
            </w:r>
            <w:r w:rsidR="005900DF">
              <w:rPr>
                <w:rFonts w:cs="Arial"/>
                <w:sz w:val="22"/>
                <w:szCs w:val="22"/>
              </w:rPr>
              <w:t xml:space="preserve">disadvantaged students in 2022-2023. </w:t>
            </w:r>
          </w:p>
          <w:p w14:paraId="237018DA" w14:textId="1E762BF4" w:rsidR="008219B1" w:rsidRDefault="008219B1" w:rsidP="00C4414C">
            <w:pPr>
              <w:pStyle w:val="TableRow"/>
              <w:rPr>
                <w:rFonts w:cs="Arial"/>
                <w:sz w:val="22"/>
                <w:szCs w:val="22"/>
              </w:rPr>
            </w:pPr>
          </w:p>
          <w:p w14:paraId="6D8DEA17" w14:textId="35E4F77A" w:rsidR="009850EE" w:rsidRPr="00C4414C" w:rsidRDefault="009850EE" w:rsidP="009850EE">
            <w:pPr>
              <w:pStyle w:val="TableRow"/>
              <w:rPr>
                <w:sz w:val="22"/>
                <w:szCs w:val="22"/>
              </w:rPr>
            </w:pPr>
          </w:p>
        </w:tc>
        <w:tc>
          <w:tcPr>
            <w:tcW w:w="495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2375541D" w14:textId="77777777" w:rsidR="005900DF" w:rsidRDefault="005900DF" w:rsidP="005900DF">
            <w:pPr>
              <w:spacing w:before="60" w:after="60"/>
              <w:ind w:left="57" w:right="57"/>
              <w:rPr>
                <w:rFonts w:cs="Arial"/>
                <w:sz w:val="22"/>
                <w:szCs w:val="22"/>
              </w:rPr>
            </w:pPr>
            <w:r>
              <w:rPr>
                <w:rFonts w:cs="Arial"/>
                <w:sz w:val="22"/>
                <w:szCs w:val="22"/>
              </w:rPr>
              <w:t>Overall a</w:t>
            </w:r>
            <w:r w:rsidR="00C4414C" w:rsidRPr="00C4414C">
              <w:rPr>
                <w:rFonts w:cs="Arial"/>
                <w:sz w:val="22"/>
                <w:szCs w:val="22"/>
              </w:rPr>
              <w:t xml:space="preserve">ttendance </w:t>
            </w:r>
            <w:r>
              <w:rPr>
                <w:rFonts w:cs="Arial"/>
                <w:sz w:val="22"/>
                <w:szCs w:val="22"/>
              </w:rPr>
              <w:t>of disadvantaged students will improve in 2022-2023 demonstrating:</w:t>
            </w:r>
          </w:p>
          <w:p w14:paraId="7A4FA051" w14:textId="4996E269" w:rsidR="00C4414C" w:rsidRPr="005900DF" w:rsidRDefault="00C4414C" w:rsidP="004A7727">
            <w:pPr>
              <w:pStyle w:val="ListParagraph"/>
              <w:numPr>
                <w:ilvl w:val="0"/>
                <w:numId w:val="26"/>
              </w:numPr>
              <w:spacing w:before="60" w:after="60"/>
              <w:ind w:left="417" w:right="57"/>
              <w:rPr>
                <w:rFonts w:cs="Arial"/>
                <w:sz w:val="22"/>
                <w:szCs w:val="22"/>
              </w:rPr>
            </w:pPr>
            <w:r w:rsidRPr="005900DF">
              <w:rPr>
                <w:rFonts w:cs="Arial"/>
                <w:sz w:val="22"/>
                <w:szCs w:val="22"/>
              </w:rPr>
              <w:t>the overall attendance for all students being no less than 9</w:t>
            </w:r>
            <w:r w:rsidR="005900DF" w:rsidRPr="005900DF">
              <w:rPr>
                <w:rFonts w:cs="Arial"/>
                <w:sz w:val="22"/>
                <w:szCs w:val="22"/>
              </w:rPr>
              <w:t>3% and</w:t>
            </w:r>
            <w:r w:rsidRPr="005900DF">
              <w:rPr>
                <w:rFonts w:cs="Arial"/>
                <w:sz w:val="22"/>
                <w:szCs w:val="22"/>
              </w:rPr>
              <w:t xml:space="preserve"> the attendance gap between disadvantaged and their non-disadvantaged peers has a difference of no more than </w:t>
            </w:r>
            <w:r w:rsidR="005900DF" w:rsidRPr="005900DF">
              <w:rPr>
                <w:rFonts w:cs="Arial"/>
                <w:sz w:val="22"/>
                <w:szCs w:val="22"/>
              </w:rPr>
              <w:t>1.5</w:t>
            </w:r>
            <w:r w:rsidRPr="005900DF">
              <w:rPr>
                <w:rFonts w:cs="Arial"/>
                <w:sz w:val="22"/>
                <w:szCs w:val="22"/>
              </w:rPr>
              <w:t>%.</w:t>
            </w:r>
          </w:p>
          <w:p w14:paraId="5DD03EBE" w14:textId="03290773" w:rsidR="00C4414C" w:rsidRPr="005900DF" w:rsidRDefault="00C4414C" w:rsidP="004A7727">
            <w:pPr>
              <w:pStyle w:val="TableRowCentered"/>
              <w:numPr>
                <w:ilvl w:val="0"/>
                <w:numId w:val="24"/>
              </w:numPr>
              <w:ind w:left="461"/>
              <w:jc w:val="left"/>
              <w:rPr>
                <w:sz w:val="22"/>
                <w:szCs w:val="22"/>
              </w:rPr>
            </w:pPr>
            <w:r w:rsidRPr="005900DF">
              <w:rPr>
                <w:rFonts w:cs="Arial"/>
                <w:sz w:val="22"/>
                <w:szCs w:val="22"/>
              </w:rPr>
              <w:t xml:space="preserve">the percentage of all students who are persistently absent being </w:t>
            </w:r>
            <w:r w:rsidR="005900DF" w:rsidRPr="005900DF">
              <w:rPr>
                <w:rFonts w:cs="Arial"/>
                <w:sz w:val="22"/>
                <w:szCs w:val="22"/>
              </w:rPr>
              <w:t xml:space="preserve">no more than </w:t>
            </w:r>
            <w:r w:rsidRPr="005900DF">
              <w:rPr>
                <w:rFonts w:cs="Arial"/>
                <w:sz w:val="22"/>
                <w:szCs w:val="22"/>
              </w:rPr>
              <w:t>10</w:t>
            </w:r>
            <w:r w:rsidR="005900DF" w:rsidRPr="005900DF">
              <w:rPr>
                <w:rFonts w:cs="Arial"/>
                <w:sz w:val="22"/>
                <w:szCs w:val="22"/>
              </w:rPr>
              <w:t>%</w:t>
            </w:r>
            <w:r w:rsidR="005900DF">
              <w:rPr>
                <w:rFonts w:cs="Arial"/>
                <w:sz w:val="22"/>
                <w:szCs w:val="22"/>
              </w:rPr>
              <w:t xml:space="preserve">. </w:t>
            </w:r>
          </w:p>
          <w:p w14:paraId="785A7288" w14:textId="31C0A098" w:rsidR="00282293" w:rsidRPr="00C4414C" w:rsidRDefault="00282293" w:rsidP="00282293">
            <w:pPr>
              <w:pStyle w:val="TableRow"/>
              <w:rPr>
                <w:sz w:val="22"/>
                <w:szCs w:val="22"/>
              </w:rPr>
            </w:pPr>
          </w:p>
        </w:tc>
      </w:tr>
      <w:tr w:rsidR="00C4414C" w14:paraId="2A7D5509" w14:textId="77777777" w:rsidTr="257587FA">
        <w:tc>
          <w:tcPr>
            <w:tcW w:w="4531"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F1EAA62" w14:textId="77777777" w:rsidR="00C4414C" w:rsidRPr="005900DF" w:rsidRDefault="00C4414C" w:rsidP="00DA4AC8">
            <w:pPr>
              <w:pStyle w:val="TableRow"/>
              <w:spacing w:after="0"/>
              <w:rPr>
                <w:rFonts w:cs="Arial"/>
                <w:sz w:val="22"/>
                <w:szCs w:val="22"/>
              </w:rPr>
            </w:pPr>
            <w:r w:rsidRPr="005900DF">
              <w:rPr>
                <w:rFonts w:cs="Arial"/>
                <w:sz w:val="22"/>
                <w:szCs w:val="22"/>
              </w:rPr>
              <w:t>Improved social skills and self-regulatory behaviour for disadvantaged students.</w:t>
            </w:r>
          </w:p>
          <w:p w14:paraId="6D27C37D" w14:textId="77777777" w:rsidR="004E5F0B" w:rsidRPr="00DA4AC8" w:rsidRDefault="004E5F0B" w:rsidP="00DA4AC8">
            <w:pPr>
              <w:pStyle w:val="TableRow"/>
              <w:spacing w:after="0"/>
              <w:rPr>
                <w:rFonts w:cs="Arial"/>
                <w:sz w:val="16"/>
                <w:szCs w:val="16"/>
              </w:rPr>
            </w:pPr>
          </w:p>
          <w:p w14:paraId="67FE3666" w14:textId="77777777" w:rsidR="00F42C57" w:rsidRPr="00DA4AC8" w:rsidRDefault="00F42C57" w:rsidP="00DA4AC8">
            <w:pPr>
              <w:pStyle w:val="TableRow"/>
              <w:spacing w:after="0"/>
              <w:rPr>
                <w:sz w:val="16"/>
                <w:szCs w:val="16"/>
              </w:rPr>
            </w:pPr>
          </w:p>
          <w:p w14:paraId="2A7D5507" w14:textId="4CCA8C63" w:rsidR="008219B1" w:rsidRPr="00DA4AC8" w:rsidRDefault="008219B1" w:rsidP="00DA4AC8">
            <w:pPr>
              <w:pStyle w:val="TableRow"/>
              <w:spacing w:after="0"/>
              <w:rPr>
                <w:sz w:val="16"/>
                <w:szCs w:val="16"/>
              </w:rPr>
            </w:pPr>
          </w:p>
        </w:tc>
        <w:tc>
          <w:tcPr>
            <w:tcW w:w="495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17495D7A" w14:textId="2A14942F" w:rsidR="00C4414C" w:rsidRPr="00C4414C" w:rsidRDefault="00C4414C" w:rsidP="00C4414C">
            <w:pPr>
              <w:spacing w:before="60" w:after="60"/>
              <w:ind w:left="57" w:right="57"/>
              <w:rPr>
                <w:rFonts w:cs="Arial"/>
                <w:sz w:val="22"/>
                <w:szCs w:val="22"/>
              </w:rPr>
            </w:pPr>
            <w:r w:rsidRPr="00C4414C">
              <w:rPr>
                <w:rFonts w:cs="Arial"/>
                <w:sz w:val="22"/>
                <w:szCs w:val="22"/>
              </w:rPr>
              <w:t>Data on student behaviour from 202</w:t>
            </w:r>
            <w:r w:rsidR="005900DF">
              <w:rPr>
                <w:rFonts w:cs="Arial"/>
                <w:sz w:val="22"/>
                <w:szCs w:val="22"/>
              </w:rPr>
              <w:t>2</w:t>
            </w:r>
            <w:r w:rsidRPr="00C4414C">
              <w:rPr>
                <w:rFonts w:cs="Arial"/>
                <w:sz w:val="22"/>
                <w:szCs w:val="22"/>
              </w:rPr>
              <w:t>/2</w:t>
            </w:r>
            <w:r w:rsidR="005900DF">
              <w:rPr>
                <w:rFonts w:cs="Arial"/>
                <w:sz w:val="22"/>
                <w:szCs w:val="22"/>
              </w:rPr>
              <w:t>3</w:t>
            </w:r>
            <w:r w:rsidRPr="00C4414C">
              <w:rPr>
                <w:rFonts w:cs="Arial"/>
                <w:sz w:val="22"/>
                <w:szCs w:val="22"/>
              </w:rPr>
              <w:t xml:space="preserve"> demonstrating:</w:t>
            </w:r>
          </w:p>
          <w:p w14:paraId="43A4047F" w14:textId="74E77CA0" w:rsidR="00C4414C" w:rsidRPr="005900DF" w:rsidRDefault="00C4414C" w:rsidP="00C4414C">
            <w:pPr>
              <w:pStyle w:val="ListParagraph"/>
              <w:numPr>
                <w:ilvl w:val="0"/>
                <w:numId w:val="14"/>
              </w:numPr>
              <w:suppressAutoHyphens w:val="0"/>
              <w:spacing w:before="60" w:after="60" w:line="240" w:lineRule="auto"/>
              <w:ind w:right="57"/>
              <w:rPr>
                <w:rFonts w:cs="Arial"/>
                <w:sz w:val="22"/>
                <w:szCs w:val="22"/>
              </w:rPr>
            </w:pPr>
            <w:r w:rsidRPr="005900DF">
              <w:rPr>
                <w:rFonts w:cs="Arial"/>
                <w:sz w:val="22"/>
                <w:szCs w:val="22"/>
              </w:rPr>
              <w:t xml:space="preserve">an incremental </w:t>
            </w:r>
            <w:r w:rsidR="00152446" w:rsidRPr="005900DF">
              <w:rPr>
                <w:rFonts w:cs="Arial"/>
                <w:sz w:val="22"/>
                <w:szCs w:val="22"/>
              </w:rPr>
              <w:t>20</w:t>
            </w:r>
            <w:r w:rsidRPr="005900DF">
              <w:rPr>
                <w:rFonts w:cs="Arial"/>
                <w:sz w:val="22"/>
                <w:szCs w:val="22"/>
              </w:rPr>
              <w:t xml:space="preserve">% reduction in fixed term </w:t>
            </w:r>
            <w:r w:rsidR="00A6019C" w:rsidRPr="005900DF">
              <w:rPr>
                <w:rFonts w:cs="Arial"/>
                <w:sz w:val="22"/>
                <w:szCs w:val="22"/>
              </w:rPr>
              <w:t xml:space="preserve">and </w:t>
            </w:r>
            <w:r w:rsidR="004C2704" w:rsidRPr="005900DF">
              <w:rPr>
                <w:rFonts w:cs="Arial"/>
                <w:sz w:val="22"/>
                <w:szCs w:val="22"/>
              </w:rPr>
              <w:t xml:space="preserve">reduction in </w:t>
            </w:r>
            <w:r w:rsidR="00A6019C" w:rsidRPr="005900DF">
              <w:rPr>
                <w:rFonts w:cs="Arial"/>
                <w:sz w:val="22"/>
                <w:szCs w:val="22"/>
              </w:rPr>
              <w:t xml:space="preserve">permanent </w:t>
            </w:r>
            <w:r w:rsidRPr="005900DF">
              <w:rPr>
                <w:rFonts w:cs="Arial"/>
                <w:sz w:val="22"/>
                <w:szCs w:val="22"/>
              </w:rPr>
              <w:t xml:space="preserve">exclusions </w:t>
            </w:r>
            <w:r w:rsidR="02453347" w:rsidRPr="005900DF">
              <w:rPr>
                <w:rFonts w:cs="Arial"/>
                <w:sz w:val="22"/>
                <w:szCs w:val="22"/>
              </w:rPr>
              <w:t>for</w:t>
            </w:r>
            <w:r w:rsidRPr="005900DF">
              <w:rPr>
                <w:rFonts w:cs="Arial"/>
                <w:sz w:val="22"/>
                <w:szCs w:val="22"/>
              </w:rPr>
              <w:t xml:space="preserve"> disadvantaged students</w:t>
            </w:r>
            <w:r w:rsidR="00E00884" w:rsidRPr="005900DF">
              <w:rPr>
                <w:rFonts w:cs="Arial"/>
                <w:sz w:val="22"/>
                <w:szCs w:val="22"/>
              </w:rPr>
              <w:t xml:space="preserve"> (year on year) moving towards national figures</w:t>
            </w:r>
            <w:r w:rsidRPr="005900DF">
              <w:rPr>
                <w:rFonts w:cs="Arial"/>
                <w:sz w:val="22"/>
                <w:szCs w:val="22"/>
              </w:rPr>
              <w:t>.</w:t>
            </w:r>
          </w:p>
          <w:p w14:paraId="6FA50AAC" w14:textId="76EA6E7D" w:rsidR="005900DF" w:rsidRPr="005900DF" w:rsidRDefault="005900DF" w:rsidP="00C4414C">
            <w:pPr>
              <w:pStyle w:val="ListParagraph"/>
              <w:numPr>
                <w:ilvl w:val="0"/>
                <w:numId w:val="14"/>
              </w:numPr>
              <w:suppressAutoHyphens w:val="0"/>
              <w:spacing w:before="60" w:after="60" w:line="240" w:lineRule="auto"/>
              <w:ind w:right="57"/>
              <w:rPr>
                <w:rFonts w:cs="Arial"/>
                <w:sz w:val="22"/>
                <w:szCs w:val="22"/>
              </w:rPr>
            </w:pPr>
            <w:r w:rsidRPr="005900DF">
              <w:rPr>
                <w:rFonts w:cs="Arial"/>
                <w:sz w:val="22"/>
                <w:szCs w:val="22"/>
              </w:rPr>
              <w:lastRenderedPageBreak/>
              <w:t xml:space="preserve">The ratio of disadvantaged students </w:t>
            </w:r>
            <w:r>
              <w:rPr>
                <w:rFonts w:cs="Arial"/>
                <w:sz w:val="22"/>
                <w:szCs w:val="22"/>
              </w:rPr>
              <w:t>‘</w:t>
            </w:r>
            <w:r w:rsidRPr="005900DF">
              <w:rPr>
                <w:rFonts w:cs="Arial"/>
                <w:sz w:val="22"/>
                <w:szCs w:val="22"/>
              </w:rPr>
              <w:t>positive to negative</w:t>
            </w:r>
            <w:r>
              <w:rPr>
                <w:rFonts w:cs="Arial"/>
                <w:sz w:val="22"/>
                <w:szCs w:val="22"/>
              </w:rPr>
              <w:t>’</w:t>
            </w:r>
            <w:r w:rsidRPr="005900DF">
              <w:rPr>
                <w:rFonts w:cs="Arial"/>
                <w:sz w:val="22"/>
                <w:szCs w:val="22"/>
              </w:rPr>
              <w:t xml:space="preserve"> on classcharts is 90%</w:t>
            </w:r>
            <w:r>
              <w:rPr>
                <w:rFonts w:cs="Arial"/>
                <w:sz w:val="22"/>
                <w:szCs w:val="22"/>
              </w:rPr>
              <w:t xml:space="preserve"> and is equal to or exceeds non disadvantaged students</w:t>
            </w:r>
            <w:r w:rsidRPr="005900DF">
              <w:rPr>
                <w:rFonts w:cs="Arial"/>
                <w:sz w:val="22"/>
                <w:szCs w:val="22"/>
              </w:rPr>
              <w:t>.</w:t>
            </w:r>
          </w:p>
          <w:p w14:paraId="1A9BC3FD" w14:textId="35545526" w:rsidR="00C4414C" w:rsidRPr="005900DF" w:rsidRDefault="005900DF" w:rsidP="00C4414C">
            <w:pPr>
              <w:pStyle w:val="ListParagraph"/>
              <w:numPr>
                <w:ilvl w:val="0"/>
                <w:numId w:val="14"/>
              </w:numPr>
              <w:suppressAutoHyphens w:val="0"/>
              <w:spacing w:before="60" w:after="60" w:line="240" w:lineRule="auto"/>
              <w:ind w:right="57"/>
              <w:rPr>
                <w:rFonts w:cs="Arial"/>
                <w:sz w:val="22"/>
                <w:szCs w:val="22"/>
              </w:rPr>
            </w:pPr>
            <w:r w:rsidRPr="005900DF">
              <w:rPr>
                <w:rFonts w:cs="Arial"/>
                <w:sz w:val="22"/>
                <w:szCs w:val="22"/>
              </w:rPr>
              <w:t xml:space="preserve">The percentage of </w:t>
            </w:r>
            <w:r w:rsidR="00C4414C" w:rsidRPr="005900DF">
              <w:rPr>
                <w:rFonts w:cs="Arial"/>
                <w:sz w:val="22"/>
                <w:szCs w:val="22"/>
              </w:rPr>
              <w:t>student rewards issued each term and numbers involved in rewards opportunities</w:t>
            </w:r>
            <w:r w:rsidR="00E00884" w:rsidRPr="005900DF">
              <w:rPr>
                <w:rFonts w:cs="Arial"/>
                <w:sz w:val="22"/>
                <w:szCs w:val="22"/>
              </w:rPr>
              <w:t xml:space="preserve"> </w:t>
            </w:r>
            <w:r w:rsidRPr="005900DF">
              <w:rPr>
                <w:rFonts w:cs="Arial"/>
                <w:sz w:val="22"/>
                <w:szCs w:val="22"/>
              </w:rPr>
              <w:t xml:space="preserve">moves towards the percentage of disadvantaged students for that year group. </w:t>
            </w:r>
            <w:r w:rsidR="00DD40E7" w:rsidRPr="005900DF">
              <w:rPr>
                <w:rFonts w:cs="Arial"/>
                <w:sz w:val="22"/>
                <w:szCs w:val="22"/>
              </w:rPr>
              <w:t xml:space="preserve"> </w:t>
            </w:r>
          </w:p>
          <w:p w14:paraId="56061D4E" w14:textId="77777777" w:rsidR="00024ADF" w:rsidRPr="00024ADF" w:rsidRDefault="00024ADF" w:rsidP="0082500E">
            <w:pPr>
              <w:pStyle w:val="TableRow"/>
              <w:rPr>
                <w:sz w:val="16"/>
                <w:szCs w:val="16"/>
              </w:rPr>
            </w:pPr>
          </w:p>
          <w:p w14:paraId="2A7D5508" w14:textId="7794AE29" w:rsidR="0082500E" w:rsidRPr="0082500E" w:rsidRDefault="0082500E" w:rsidP="0082500E">
            <w:pPr>
              <w:suppressAutoHyphens w:val="0"/>
              <w:spacing w:before="60" w:after="60" w:line="240" w:lineRule="auto"/>
              <w:ind w:right="57"/>
              <w:rPr>
                <w:rFonts w:cs="Arial"/>
                <w:sz w:val="22"/>
                <w:szCs w:val="22"/>
              </w:rPr>
            </w:pPr>
          </w:p>
        </w:tc>
      </w:tr>
      <w:tr w:rsidR="00C4414C" w14:paraId="2A7D550C" w14:textId="77777777" w:rsidTr="257587FA">
        <w:tc>
          <w:tcPr>
            <w:tcW w:w="4531"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F620968" w14:textId="39F9B2C6" w:rsidR="00C4414C" w:rsidRDefault="00C4414C" w:rsidP="00C4414C">
            <w:pPr>
              <w:pStyle w:val="TableRow"/>
              <w:rPr>
                <w:rFonts w:cs="Arial"/>
                <w:sz w:val="22"/>
                <w:szCs w:val="22"/>
              </w:rPr>
            </w:pPr>
            <w:r w:rsidRPr="005900DF">
              <w:rPr>
                <w:rFonts w:cs="Arial"/>
                <w:b/>
                <w:bCs/>
                <w:sz w:val="22"/>
                <w:szCs w:val="22"/>
              </w:rPr>
              <w:lastRenderedPageBreak/>
              <w:t>To improve</w:t>
            </w:r>
            <w:r w:rsidR="005900DF" w:rsidRPr="005900DF">
              <w:rPr>
                <w:rFonts w:cs="Arial"/>
                <w:b/>
                <w:bCs/>
                <w:sz w:val="22"/>
                <w:szCs w:val="22"/>
              </w:rPr>
              <w:t xml:space="preserve"> the </w:t>
            </w:r>
            <w:r w:rsidR="005900DF">
              <w:rPr>
                <w:rFonts w:cs="Arial"/>
                <w:b/>
                <w:bCs/>
                <w:sz w:val="22"/>
                <w:szCs w:val="22"/>
              </w:rPr>
              <w:t xml:space="preserve">attitude and </w:t>
            </w:r>
            <w:r w:rsidRPr="005900DF">
              <w:rPr>
                <w:rFonts w:cs="Arial"/>
                <w:b/>
                <w:bCs/>
                <w:sz w:val="22"/>
                <w:szCs w:val="22"/>
              </w:rPr>
              <w:t>perceptions</w:t>
            </w:r>
            <w:r w:rsidRPr="00C4414C">
              <w:rPr>
                <w:rFonts w:cs="Arial"/>
                <w:sz w:val="22"/>
                <w:szCs w:val="22"/>
              </w:rPr>
              <w:t xml:space="preserve"> of school and teachers, </w:t>
            </w:r>
            <w:r w:rsidR="005900DF">
              <w:rPr>
                <w:rFonts w:cs="Arial"/>
                <w:sz w:val="22"/>
                <w:szCs w:val="22"/>
              </w:rPr>
              <w:t xml:space="preserve">of </w:t>
            </w:r>
            <w:r w:rsidRPr="00C4414C">
              <w:rPr>
                <w:rFonts w:cs="Arial"/>
                <w:sz w:val="22"/>
                <w:szCs w:val="22"/>
              </w:rPr>
              <w:t>our disadvantaged students.</w:t>
            </w:r>
          </w:p>
          <w:p w14:paraId="2A7D550A" w14:textId="632CB489" w:rsidR="004E5F0B" w:rsidRPr="00C4414C" w:rsidRDefault="004E5F0B" w:rsidP="005436F5">
            <w:pPr>
              <w:pStyle w:val="TableRow"/>
              <w:rPr>
                <w:sz w:val="22"/>
                <w:szCs w:val="22"/>
              </w:rPr>
            </w:pPr>
          </w:p>
        </w:tc>
        <w:tc>
          <w:tcPr>
            <w:tcW w:w="495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596E200D" w14:textId="561E98A4" w:rsidR="00C4414C" w:rsidRPr="005900DF" w:rsidRDefault="00C4414C" w:rsidP="00C4414C">
            <w:pPr>
              <w:spacing w:before="60" w:after="60"/>
              <w:ind w:left="57" w:right="57"/>
              <w:rPr>
                <w:rFonts w:cs="Arial"/>
                <w:sz w:val="22"/>
                <w:szCs w:val="22"/>
              </w:rPr>
            </w:pPr>
            <w:r w:rsidRPr="005900DF">
              <w:rPr>
                <w:rFonts w:cs="Arial"/>
                <w:sz w:val="22"/>
                <w:szCs w:val="22"/>
              </w:rPr>
              <w:t>Student perceptions of school f</w:t>
            </w:r>
            <w:r w:rsidR="005900DF" w:rsidRPr="005900DF">
              <w:rPr>
                <w:rFonts w:cs="Arial"/>
                <w:sz w:val="22"/>
                <w:szCs w:val="22"/>
              </w:rPr>
              <w:t xml:space="preserve">or </w:t>
            </w:r>
            <w:r w:rsidRPr="005900DF">
              <w:rPr>
                <w:rFonts w:cs="Arial"/>
                <w:sz w:val="22"/>
                <w:szCs w:val="22"/>
              </w:rPr>
              <w:t>202</w:t>
            </w:r>
            <w:r w:rsidR="005900DF" w:rsidRPr="005900DF">
              <w:rPr>
                <w:rFonts w:cs="Arial"/>
                <w:sz w:val="22"/>
                <w:szCs w:val="22"/>
              </w:rPr>
              <w:t>2</w:t>
            </w:r>
            <w:r w:rsidRPr="005900DF">
              <w:rPr>
                <w:rFonts w:cs="Arial"/>
                <w:sz w:val="22"/>
                <w:szCs w:val="22"/>
              </w:rPr>
              <w:t>/2</w:t>
            </w:r>
            <w:r w:rsidR="005900DF" w:rsidRPr="005900DF">
              <w:rPr>
                <w:rFonts w:cs="Arial"/>
                <w:sz w:val="22"/>
                <w:szCs w:val="22"/>
              </w:rPr>
              <w:t>3</w:t>
            </w:r>
            <w:r w:rsidRPr="005900DF">
              <w:rPr>
                <w:rFonts w:cs="Arial"/>
                <w:sz w:val="22"/>
                <w:szCs w:val="22"/>
              </w:rPr>
              <w:t xml:space="preserve"> </w:t>
            </w:r>
            <w:r w:rsidR="005900DF" w:rsidRPr="005900DF">
              <w:rPr>
                <w:rFonts w:cs="Arial"/>
                <w:sz w:val="22"/>
                <w:szCs w:val="22"/>
              </w:rPr>
              <w:t xml:space="preserve">will </w:t>
            </w:r>
            <w:r w:rsidRPr="005900DF">
              <w:rPr>
                <w:rFonts w:cs="Arial"/>
                <w:sz w:val="22"/>
                <w:szCs w:val="22"/>
              </w:rPr>
              <w:t>demonstrat</w:t>
            </w:r>
            <w:r w:rsidR="005900DF" w:rsidRPr="005900DF">
              <w:rPr>
                <w:rFonts w:cs="Arial"/>
                <w:sz w:val="22"/>
                <w:szCs w:val="22"/>
              </w:rPr>
              <w:t>e:</w:t>
            </w:r>
          </w:p>
          <w:p w14:paraId="70D06EF5" w14:textId="501C28C5" w:rsidR="00C4414C" w:rsidRPr="005900DF" w:rsidRDefault="00C4414C" w:rsidP="00C4414C">
            <w:pPr>
              <w:pStyle w:val="ListParagraph"/>
              <w:numPr>
                <w:ilvl w:val="0"/>
                <w:numId w:val="17"/>
              </w:numPr>
              <w:suppressAutoHyphens w:val="0"/>
              <w:spacing w:before="60" w:after="60" w:line="240" w:lineRule="auto"/>
              <w:ind w:right="57"/>
              <w:rPr>
                <w:rFonts w:cs="Arial"/>
                <w:sz w:val="22"/>
                <w:szCs w:val="22"/>
              </w:rPr>
            </w:pPr>
            <w:r w:rsidRPr="005900DF">
              <w:rPr>
                <w:rFonts w:cs="Arial"/>
                <w:sz w:val="22"/>
                <w:szCs w:val="22"/>
              </w:rPr>
              <w:t>students in 7-10 GL Pass test data indicating an improved perception score with disadvantaged students being in line with their non-disadvantaged peers</w:t>
            </w:r>
            <w:r w:rsidR="003D66EB" w:rsidRPr="005900DF">
              <w:rPr>
                <w:rFonts w:cs="Arial"/>
                <w:sz w:val="22"/>
                <w:szCs w:val="22"/>
              </w:rPr>
              <w:t xml:space="preserve">, and an overall </w:t>
            </w:r>
            <w:r w:rsidR="005436F5" w:rsidRPr="005900DF">
              <w:rPr>
                <w:rFonts w:cs="Arial"/>
                <w:sz w:val="22"/>
                <w:szCs w:val="22"/>
              </w:rPr>
              <w:t xml:space="preserve">rate of </w:t>
            </w:r>
            <w:r w:rsidR="005900DF" w:rsidRPr="005900DF">
              <w:rPr>
                <w:rFonts w:cs="Arial"/>
                <w:sz w:val="22"/>
                <w:szCs w:val="22"/>
              </w:rPr>
              <w:t>75</w:t>
            </w:r>
            <w:r w:rsidR="005436F5" w:rsidRPr="005900DF">
              <w:rPr>
                <w:rFonts w:cs="Arial"/>
                <w:sz w:val="22"/>
                <w:szCs w:val="22"/>
              </w:rPr>
              <w:t xml:space="preserve">% </w:t>
            </w:r>
            <w:r w:rsidR="005900DF">
              <w:rPr>
                <w:rFonts w:cs="Arial"/>
                <w:sz w:val="22"/>
                <w:szCs w:val="22"/>
              </w:rPr>
              <w:t>(</w:t>
            </w:r>
            <w:r w:rsidR="005436F5" w:rsidRPr="005900DF">
              <w:rPr>
                <w:rFonts w:cs="Arial"/>
                <w:sz w:val="22"/>
                <w:szCs w:val="22"/>
              </w:rPr>
              <w:t>in response to Qu1 &amp; 5</w:t>
            </w:r>
            <w:r w:rsidR="005900DF">
              <w:rPr>
                <w:rFonts w:cs="Arial"/>
                <w:sz w:val="22"/>
                <w:szCs w:val="22"/>
              </w:rPr>
              <w:t>)</w:t>
            </w:r>
            <w:r w:rsidRPr="005900DF">
              <w:rPr>
                <w:rFonts w:cs="Arial"/>
                <w:sz w:val="22"/>
                <w:szCs w:val="22"/>
              </w:rPr>
              <w:t>.</w:t>
            </w:r>
          </w:p>
          <w:p w14:paraId="073D9DDA" w14:textId="77777777" w:rsidR="00C4414C" w:rsidRPr="005900DF" w:rsidRDefault="00C4414C" w:rsidP="00C4414C">
            <w:pPr>
              <w:pStyle w:val="ListParagraph"/>
              <w:numPr>
                <w:ilvl w:val="0"/>
                <w:numId w:val="17"/>
              </w:numPr>
              <w:suppressAutoHyphens w:val="0"/>
              <w:spacing w:before="60" w:after="60" w:line="240" w:lineRule="auto"/>
              <w:ind w:right="57"/>
              <w:rPr>
                <w:rFonts w:cs="Arial"/>
                <w:sz w:val="22"/>
                <w:szCs w:val="22"/>
              </w:rPr>
            </w:pPr>
            <w:r w:rsidRPr="005900DF">
              <w:rPr>
                <w:rFonts w:cs="Arial"/>
                <w:sz w:val="22"/>
                <w:szCs w:val="22"/>
              </w:rPr>
              <w:t>qualitative data from student voice, student and parent surveys and opportunity evaluation forms indicating an upward trend of improvement.</w:t>
            </w:r>
          </w:p>
          <w:p w14:paraId="2A7D550B" w14:textId="33B292F7" w:rsidR="005436F5" w:rsidRPr="005900DF" w:rsidRDefault="005436F5" w:rsidP="005900DF">
            <w:pPr>
              <w:pStyle w:val="TableRow"/>
              <w:rPr>
                <w:sz w:val="22"/>
                <w:szCs w:val="22"/>
              </w:rPr>
            </w:pPr>
          </w:p>
        </w:tc>
      </w:tr>
      <w:tr w:rsidR="005900DF" w14:paraId="39EC9302" w14:textId="77777777" w:rsidTr="257587FA">
        <w:tc>
          <w:tcPr>
            <w:tcW w:w="4531"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69249F5" w14:textId="1386B003" w:rsidR="005900DF" w:rsidRPr="00C4414C" w:rsidRDefault="005900DF" w:rsidP="00C4414C">
            <w:pPr>
              <w:pStyle w:val="TableRow"/>
              <w:rPr>
                <w:rFonts w:cs="Arial"/>
                <w:sz w:val="22"/>
                <w:szCs w:val="22"/>
              </w:rPr>
            </w:pPr>
            <w:r w:rsidRPr="005900DF">
              <w:rPr>
                <w:rFonts w:cs="Arial"/>
                <w:b/>
                <w:bCs/>
                <w:sz w:val="22"/>
                <w:szCs w:val="22"/>
              </w:rPr>
              <w:t>Disadvantaged students will access</w:t>
            </w:r>
            <w:r>
              <w:rPr>
                <w:rFonts w:cs="Arial"/>
                <w:sz w:val="22"/>
                <w:szCs w:val="22"/>
              </w:rPr>
              <w:t xml:space="preserve"> a range of opportunities that develop </w:t>
            </w:r>
            <w:r w:rsidRPr="005900DF">
              <w:rPr>
                <w:rFonts w:cs="Arial"/>
                <w:b/>
                <w:bCs/>
                <w:sz w:val="22"/>
                <w:szCs w:val="22"/>
              </w:rPr>
              <w:t>‘cultural capital’</w:t>
            </w:r>
            <w:r>
              <w:rPr>
                <w:rFonts w:cs="Arial"/>
                <w:sz w:val="22"/>
                <w:szCs w:val="22"/>
              </w:rPr>
              <w:t xml:space="preserve"> </w:t>
            </w:r>
          </w:p>
        </w:tc>
        <w:tc>
          <w:tcPr>
            <w:tcW w:w="495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7B9D9A94" w14:textId="0955FBB1" w:rsidR="005900DF" w:rsidRDefault="005900DF" w:rsidP="005900DF">
            <w:pPr>
              <w:spacing w:after="0" w:line="240" w:lineRule="auto"/>
              <w:ind w:left="57" w:right="57"/>
              <w:rPr>
                <w:rFonts w:cs="Arial"/>
                <w:sz w:val="22"/>
                <w:szCs w:val="22"/>
              </w:rPr>
            </w:pPr>
            <w:r>
              <w:rPr>
                <w:rFonts w:cs="Arial"/>
                <w:sz w:val="22"/>
                <w:szCs w:val="22"/>
              </w:rPr>
              <w:t xml:space="preserve">All disadvantaged students will have accessed opportunities to develop personal, social skills and cultural capital demonstrated by: </w:t>
            </w:r>
          </w:p>
          <w:p w14:paraId="4C5805C7" w14:textId="77777777" w:rsidR="005900DF" w:rsidRDefault="005900DF" w:rsidP="005900DF">
            <w:pPr>
              <w:pStyle w:val="ListParagraph"/>
              <w:numPr>
                <w:ilvl w:val="0"/>
                <w:numId w:val="27"/>
              </w:numPr>
              <w:spacing w:after="0" w:line="240" w:lineRule="auto"/>
              <w:ind w:right="57"/>
              <w:rPr>
                <w:rFonts w:cs="Arial"/>
                <w:sz w:val="22"/>
                <w:szCs w:val="22"/>
              </w:rPr>
            </w:pPr>
            <w:r w:rsidRPr="005900DF">
              <w:rPr>
                <w:rFonts w:cs="Arial"/>
                <w:sz w:val="22"/>
                <w:szCs w:val="22"/>
              </w:rPr>
              <w:t xml:space="preserve">Each disadvantaged students will go on at least one external trip during 2022-2023.  </w:t>
            </w:r>
          </w:p>
          <w:p w14:paraId="752C274C" w14:textId="6354EEBF" w:rsidR="005900DF" w:rsidRPr="005900DF" w:rsidRDefault="005900DF" w:rsidP="005900DF">
            <w:pPr>
              <w:spacing w:after="0" w:line="240" w:lineRule="auto"/>
              <w:ind w:left="57" w:right="57"/>
              <w:rPr>
                <w:rFonts w:cs="Arial"/>
                <w:sz w:val="22"/>
                <w:szCs w:val="22"/>
              </w:rPr>
            </w:pPr>
          </w:p>
        </w:tc>
      </w:tr>
      <w:tr w:rsidR="00C4414C" w14:paraId="2A7D550F" w14:textId="77777777" w:rsidTr="257587FA">
        <w:tc>
          <w:tcPr>
            <w:tcW w:w="4531"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5725A59" w14:textId="77777777" w:rsidR="00C4414C" w:rsidRDefault="00C4414C" w:rsidP="00C4414C">
            <w:pPr>
              <w:pStyle w:val="TableRow"/>
              <w:rPr>
                <w:rFonts w:cs="Arial"/>
                <w:sz w:val="22"/>
                <w:szCs w:val="22"/>
              </w:rPr>
            </w:pPr>
            <w:r w:rsidRPr="005900DF">
              <w:rPr>
                <w:rFonts w:cs="Arial"/>
                <w:b/>
                <w:bCs/>
                <w:sz w:val="22"/>
                <w:szCs w:val="22"/>
              </w:rPr>
              <w:t>Increased engagement of parents</w:t>
            </w:r>
            <w:r w:rsidRPr="00C4414C">
              <w:rPr>
                <w:rFonts w:cs="Arial"/>
                <w:sz w:val="22"/>
                <w:szCs w:val="22"/>
              </w:rPr>
              <w:t xml:space="preserve"> of disadvantaged students within the Academy</w:t>
            </w:r>
          </w:p>
          <w:p w14:paraId="006FFDF8" w14:textId="77777777" w:rsidR="004E5F0B" w:rsidRDefault="004E5F0B" w:rsidP="00C4414C">
            <w:pPr>
              <w:pStyle w:val="TableRow"/>
              <w:rPr>
                <w:rFonts w:cs="Arial"/>
                <w:sz w:val="22"/>
                <w:szCs w:val="22"/>
              </w:rPr>
            </w:pPr>
          </w:p>
          <w:p w14:paraId="2A7D550D" w14:textId="7FF61978" w:rsidR="004E5F0B" w:rsidRPr="00C4414C" w:rsidRDefault="004E5F0B" w:rsidP="004E5F0B">
            <w:pPr>
              <w:pStyle w:val="TableRow"/>
              <w:rPr>
                <w:sz w:val="22"/>
                <w:szCs w:val="22"/>
              </w:rPr>
            </w:pPr>
          </w:p>
        </w:tc>
        <w:tc>
          <w:tcPr>
            <w:tcW w:w="495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1F0C6CFE" w14:textId="5688704D" w:rsidR="00C4414C" w:rsidRPr="00030E57" w:rsidRDefault="00C4414C" w:rsidP="00C4414C">
            <w:pPr>
              <w:spacing w:before="60" w:after="60"/>
              <w:ind w:left="57" w:right="57"/>
              <w:rPr>
                <w:rFonts w:cs="Arial"/>
                <w:sz w:val="22"/>
                <w:szCs w:val="22"/>
              </w:rPr>
            </w:pPr>
            <w:r w:rsidRPr="00030E57">
              <w:rPr>
                <w:rFonts w:cs="Arial"/>
                <w:sz w:val="22"/>
                <w:szCs w:val="22"/>
              </w:rPr>
              <w:t>Data from 202</w:t>
            </w:r>
            <w:r w:rsidR="005900DF">
              <w:rPr>
                <w:rFonts w:cs="Arial"/>
                <w:sz w:val="22"/>
                <w:szCs w:val="22"/>
              </w:rPr>
              <w:t>2</w:t>
            </w:r>
            <w:r w:rsidRPr="00030E57">
              <w:rPr>
                <w:rFonts w:cs="Arial"/>
                <w:sz w:val="22"/>
                <w:szCs w:val="22"/>
              </w:rPr>
              <w:t>/2</w:t>
            </w:r>
            <w:r w:rsidR="005900DF">
              <w:rPr>
                <w:rFonts w:cs="Arial"/>
                <w:sz w:val="22"/>
                <w:szCs w:val="22"/>
              </w:rPr>
              <w:t xml:space="preserve">3 will </w:t>
            </w:r>
            <w:r w:rsidRPr="00030E57">
              <w:rPr>
                <w:rFonts w:cs="Arial"/>
                <w:sz w:val="22"/>
                <w:szCs w:val="22"/>
              </w:rPr>
              <w:t>demonstrate</w:t>
            </w:r>
            <w:r w:rsidR="005900DF">
              <w:rPr>
                <w:rFonts w:cs="Arial"/>
                <w:sz w:val="22"/>
                <w:szCs w:val="22"/>
              </w:rPr>
              <w:t xml:space="preserve"> </w:t>
            </w:r>
            <w:r w:rsidRPr="00030E57">
              <w:rPr>
                <w:rFonts w:cs="Arial"/>
                <w:sz w:val="22"/>
                <w:szCs w:val="22"/>
              </w:rPr>
              <w:t>increased parental engagement:</w:t>
            </w:r>
          </w:p>
          <w:p w14:paraId="3ABE20DE" w14:textId="4D4D86F3" w:rsidR="00C4414C" w:rsidRPr="00030E57" w:rsidRDefault="005900DF" w:rsidP="004A7727">
            <w:pPr>
              <w:numPr>
                <w:ilvl w:val="0"/>
                <w:numId w:val="22"/>
              </w:numPr>
              <w:suppressAutoHyphens w:val="0"/>
              <w:spacing w:before="60" w:after="60" w:line="240" w:lineRule="auto"/>
              <w:ind w:left="417" w:right="57"/>
              <w:rPr>
                <w:rFonts w:cs="Arial"/>
                <w:sz w:val="22"/>
                <w:szCs w:val="22"/>
              </w:rPr>
            </w:pPr>
            <w:r>
              <w:rPr>
                <w:rFonts w:cs="Arial"/>
                <w:sz w:val="22"/>
                <w:szCs w:val="22"/>
              </w:rPr>
              <w:t>6</w:t>
            </w:r>
            <w:r w:rsidR="00C4414C" w:rsidRPr="00030E57">
              <w:rPr>
                <w:rFonts w:cs="Arial"/>
                <w:sz w:val="22"/>
                <w:szCs w:val="22"/>
              </w:rPr>
              <w:t>0% of all parents attend parent’s evenings, academic support evenings and school performances and events. The attendance of parents of disadvantaged students is in in line with non-disadvantaged students.</w:t>
            </w:r>
          </w:p>
          <w:p w14:paraId="0B34FCFD" w14:textId="4647F0DD" w:rsidR="00C4414C" w:rsidRPr="00030E57" w:rsidRDefault="00C4414C" w:rsidP="004A7727">
            <w:pPr>
              <w:pStyle w:val="TableRowCentered"/>
              <w:numPr>
                <w:ilvl w:val="0"/>
                <w:numId w:val="18"/>
              </w:numPr>
              <w:ind w:left="417"/>
              <w:jc w:val="left"/>
              <w:rPr>
                <w:sz w:val="22"/>
                <w:szCs w:val="22"/>
              </w:rPr>
            </w:pPr>
            <w:r w:rsidRPr="00030E57">
              <w:rPr>
                <w:rFonts w:cs="Arial"/>
                <w:sz w:val="22"/>
                <w:szCs w:val="22"/>
              </w:rPr>
              <w:t>qualitative data from parent surveys and opportunity evaluation forms indicating an upward trend of improvement.</w:t>
            </w:r>
          </w:p>
          <w:p w14:paraId="50F02CC5" w14:textId="77777777" w:rsidR="00C0483F" w:rsidRPr="00C0483F" w:rsidRDefault="00C0483F" w:rsidP="00C0483F">
            <w:pPr>
              <w:pStyle w:val="TableRowCentered"/>
              <w:jc w:val="left"/>
              <w:rPr>
                <w:sz w:val="16"/>
                <w:szCs w:val="16"/>
              </w:rPr>
            </w:pPr>
          </w:p>
          <w:p w14:paraId="2A7D550E" w14:textId="30717227" w:rsidR="00282293" w:rsidRPr="00C0483F" w:rsidRDefault="00282293" w:rsidP="00282293">
            <w:pPr>
              <w:pStyle w:val="TableRowCentered"/>
              <w:jc w:val="left"/>
              <w:rPr>
                <w:sz w:val="16"/>
                <w:szCs w:val="16"/>
              </w:rPr>
            </w:pPr>
          </w:p>
        </w:tc>
      </w:tr>
      <w:tr w:rsidR="00C4414C" w14:paraId="4ADAA3C2" w14:textId="77777777" w:rsidTr="257587FA">
        <w:tc>
          <w:tcPr>
            <w:tcW w:w="4531"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078F3D7" w14:textId="11C1C01A" w:rsidR="00C4414C" w:rsidRDefault="00C4414C" w:rsidP="00C4414C">
            <w:pPr>
              <w:pStyle w:val="TableRow"/>
              <w:rPr>
                <w:rFonts w:cs="Arial"/>
                <w:sz w:val="22"/>
                <w:szCs w:val="22"/>
              </w:rPr>
            </w:pPr>
            <w:r w:rsidRPr="005900DF">
              <w:rPr>
                <w:rFonts w:cs="Arial"/>
                <w:b/>
                <w:bCs/>
                <w:sz w:val="22"/>
                <w:szCs w:val="22"/>
              </w:rPr>
              <w:t>Aspirational post-16 destinations</w:t>
            </w:r>
            <w:r w:rsidRPr="00C4414C">
              <w:rPr>
                <w:rFonts w:cs="Arial"/>
                <w:sz w:val="22"/>
                <w:szCs w:val="22"/>
              </w:rPr>
              <w:t xml:space="preserve"> and future pathways for disadvantaged students.</w:t>
            </w:r>
          </w:p>
          <w:p w14:paraId="50F35759" w14:textId="77777777" w:rsidR="008219B1" w:rsidRDefault="008219B1" w:rsidP="00C4414C">
            <w:pPr>
              <w:pStyle w:val="TableRow"/>
              <w:rPr>
                <w:rFonts w:cs="Arial"/>
                <w:sz w:val="22"/>
                <w:szCs w:val="22"/>
              </w:rPr>
            </w:pPr>
          </w:p>
          <w:p w14:paraId="1EDEDE72" w14:textId="03FE0859" w:rsidR="004E5F0B" w:rsidRPr="00C4414C" w:rsidRDefault="004E5F0B" w:rsidP="001D16A9">
            <w:pPr>
              <w:pStyle w:val="TableRow"/>
              <w:rPr>
                <w:sz w:val="22"/>
                <w:szCs w:val="22"/>
              </w:rPr>
            </w:pPr>
          </w:p>
        </w:tc>
        <w:tc>
          <w:tcPr>
            <w:tcW w:w="495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5C223E66" w14:textId="62C3B7AB" w:rsidR="00C4414C" w:rsidRPr="00C4414C" w:rsidRDefault="00C4414C" w:rsidP="00C4414C">
            <w:pPr>
              <w:spacing w:before="60" w:after="60"/>
              <w:ind w:left="57" w:right="57"/>
              <w:rPr>
                <w:rFonts w:cs="Arial"/>
                <w:sz w:val="22"/>
                <w:szCs w:val="22"/>
              </w:rPr>
            </w:pPr>
            <w:r w:rsidRPr="00C4414C">
              <w:rPr>
                <w:rFonts w:cs="Arial"/>
                <w:sz w:val="22"/>
                <w:szCs w:val="22"/>
              </w:rPr>
              <w:t>Post-16 destinations data from 202</w:t>
            </w:r>
            <w:r w:rsidR="005900DF">
              <w:rPr>
                <w:rFonts w:cs="Arial"/>
                <w:sz w:val="22"/>
                <w:szCs w:val="22"/>
              </w:rPr>
              <w:t>2</w:t>
            </w:r>
            <w:r w:rsidRPr="00C4414C">
              <w:rPr>
                <w:rFonts w:cs="Arial"/>
                <w:sz w:val="22"/>
                <w:szCs w:val="22"/>
              </w:rPr>
              <w:t>/2</w:t>
            </w:r>
            <w:r w:rsidR="005900DF">
              <w:rPr>
                <w:rFonts w:cs="Arial"/>
                <w:sz w:val="22"/>
                <w:szCs w:val="22"/>
              </w:rPr>
              <w:t>3</w:t>
            </w:r>
            <w:r w:rsidRPr="00C4414C">
              <w:rPr>
                <w:rFonts w:cs="Arial"/>
                <w:sz w:val="22"/>
                <w:szCs w:val="22"/>
              </w:rPr>
              <w:t xml:space="preserve"> </w:t>
            </w:r>
            <w:r w:rsidR="005900DF">
              <w:rPr>
                <w:rFonts w:cs="Arial"/>
                <w:sz w:val="22"/>
                <w:szCs w:val="22"/>
              </w:rPr>
              <w:t xml:space="preserve">will </w:t>
            </w:r>
            <w:r w:rsidRPr="00C4414C">
              <w:rPr>
                <w:rFonts w:cs="Arial"/>
                <w:sz w:val="22"/>
                <w:szCs w:val="22"/>
              </w:rPr>
              <w:t>demonstrat</w:t>
            </w:r>
            <w:r w:rsidR="005900DF">
              <w:rPr>
                <w:rFonts w:cs="Arial"/>
                <w:sz w:val="22"/>
                <w:szCs w:val="22"/>
              </w:rPr>
              <w:t>e</w:t>
            </w:r>
            <w:r w:rsidRPr="00C4414C">
              <w:rPr>
                <w:rFonts w:cs="Arial"/>
                <w:sz w:val="22"/>
                <w:szCs w:val="22"/>
              </w:rPr>
              <w:t>:</w:t>
            </w:r>
          </w:p>
          <w:p w14:paraId="1000C2E0" w14:textId="3EF776D7" w:rsidR="00C4414C" w:rsidRDefault="005900DF" w:rsidP="00C4414C">
            <w:pPr>
              <w:numPr>
                <w:ilvl w:val="0"/>
                <w:numId w:val="23"/>
              </w:numPr>
              <w:suppressAutoHyphens w:val="0"/>
              <w:spacing w:before="60" w:after="60" w:line="240" w:lineRule="auto"/>
              <w:ind w:right="57"/>
              <w:rPr>
                <w:rFonts w:cs="Arial"/>
                <w:sz w:val="22"/>
                <w:szCs w:val="22"/>
              </w:rPr>
            </w:pPr>
            <w:r>
              <w:rPr>
                <w:rFonts w:cs="Arial"/>
                <w:sz w:val="22"/>
                <w:szCs w:val="22"/>
              </w:rPr>
              <w:t>98</w:t>
            </w:r>
            <w:r w:rsidR="00C4414C" w:rsidRPr="00C4414C">
              <w:rPr>
                <w:rFonts w:cs="Arial"/>
                <w:sz w:val="22"/>
                <w:szCs w:val="22"/>
              </w:rPr>
              <w:t xml:space="preserve">% of students </w:t>
            </w:r>
            <w:r>
              <w:rPr>
                <w:rFonts w:cs="Arial"/>
                <w:sz w:val="22"/>
                <w:szCs w:val="22"/>
              </w:rPr>
              <w:t xml:space="preserve">will be on </w:t>
            </w:r>
            <w:r w:rsidR="00C4414C" w:rsidRPr="00C4414C">
              <w:rPr>
                <w:rFonts w:cs="Arial"/>
                <w:sz w:val="22"/>
                <w:szCs w:val="22"/>
              </w:rPr>
              <w:t xml:space="preserve">a placement in further education, </w:t>
            </w:r>
            <w:r w:rsidRPr="00C4414C">
              <w:rPr>
                <w:rFonts w:cs="Arial"/>
                <w:sz w:val="22"/>
                <w:szCs w:val="22"/>
              </w:rPr>
              <w:t>employment,</w:t>
            </w:r>
            <w:r w:rsidR="00C4414C" w:rsidRPr="00C4414C">
              <w:rPr>
                <w:rFonts w:cs="Arial"/>
                <w:sz w:val="22"/>
                <w:szCs w:val="22"/>
              </w:rPr>
              <w:t xml:space="preserve"> or training</w:t>
            </w:r>
            <w:r>
              <w:rPr>
                <w:rFonts w:cs="Arial"/>
                <w:sz w:val="22"/>
                <w:szCs w:val="22"/>
              </w:rPr>
              <w:t xml:space="preserve"> (exceeding national rates</w:t>
            </w:r>
            <w:r w:rsidR="00C4414C" w:rsidRPr="00C4414C">
              <w:rPr>
                <w:rFonts w:cs="Arial"/>
                <w:sz w:val="22"/>
                <w:szCs w:val="22"/>
              </w:rPr>
              <w:t>.</w:t>
            </w:r>
          </w:p>
          <w:p w14:paraId="73D07B2B" w14:textId="77777777" w:rsidR="00C4414C" w:rsidRDefault="00C4414C" w:rsidP="00C4414C">
            <w:pPr>
              <w:numPr>
                <w:ilvl w:val="0"/>
                <w:numId w:val="23"/>
              </w:numPr>
              <w:suppressAutoHyphens w:val="0"/>
              <w:spacing w:before="60" w:after="60" w:line="240" w:lineRule="auto"/>
              <w:ind w:right="57"/>
              <w:rPr>
                <w:rFonts w:cs="Arial"/>
                <w:sz w:val="22"/>
                <w:szCs w:val="22"/>
              </w:rPr>
            </w:pPr>
            <w:r w:rsidRPr="00C4414C">
              <w:rPr>
                <w:rFonts w:cs="Arial"/>
                <w:sz w:val="22"/>
                <w:szCs w:val="22"/>
              </w:rPr>
              <w:t>80% or more students attend post-16 providers with an Ofsted rating of Good or Outstanding.</w:t>
            </w:r>
          </w:p>
          <w:p w14:paraId="6708776E" w14:textId="096A03F3" w:rsidR="001D16A9" w:rsidRPr="00C4414C" w:rsidRDefault="001D16A9" w:rsidP="00547911">
            <w:pPr>
              <w:pStyle w:val="TableRow"/>
              <w:rPr>
                <w:rFonts w:cs="Arial"/>
                <w:sz w:val="22"/>
                <w:szCs w:val="22"/>
              </w:rPr>
            </w:pPr>
          </w:p>
        </w:tc>
      </w:tr>
    </w:tbl>
    <w:p w14:paraId="2A7D5512" w14:textId="5798E3A5"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4077122" w:rsidR="00E66558" w:rsidRDefault="009D71E8" w:rsidP="257587FA">
      <w:pPr>
        <w:rPr>
          <w:sz w:val="20"/>
          <w:szCs w:val="20"/>
          <w:highlight w:val="yellow"/>
        </w:rPr>
      </w:pPr>
      <w:r>
        <w:t xml:space="preserve">Budgeted cost: </w:t>
      </w:r>
      <w:r w:rsidR="031D5828">
        <w:t>£89, 9</w:t>
      </w:r>
      <w:r w:rsidR="4AFB3FF1">
        <w:t>30</w:t>
      </w:r>
      <w:r w:rsidR="031D5828">
        <w:t xml:space="preserve"> </w:t>
      </w:r>
      <w:r w:rsidR="6C8C1994" w:rsidRPr="257587FA">
        <w:rPr>
          <w:sz w:val="20"/>
          <w:szCs w:val="20"/>
          <w:highlight w:val="yellow"/>
        </w:rPr>
        <w:t>(provisional estimate)</w:t>
      </w:r>
      <w:r w:rsidR="6C8C1994" w:rsidRPr="257587FA">
        <w:rPr>
          <w:sz w:val="20"/>
          <w:szCs w:val="20"/>
        </w:rPr>
        <w:t xml:space="preserve"> </w:t>
      </w:r>
    </w:p>
    <w:tbl>
      <w:tblPr>
        <w:tblW w:w="5000" w:type="pct"/>
        <w:tblCellMar>
          <w:left w:w="10" w:type="dxa"/>
          <w:right w:w="10" w:type="dxa"/>
        </w:tblCellMar>
        <w:tblLook w:val="04A0" w:firstRow="1" w:lastRow="0" w:firstColumn="1" w:lastColumn="0" w:noHBand="0" w:noVBand="1"/>
      </w:tblPr>
      <w:tblGrid>
        <w:gridCol w:w="3094"/>
        <w:gridCol w:w="3970"/>
        <w:gridCol w:w="2422"/>
      </w:tblGrid>
      <w:tr w:rsidR="00CC61BB" w14:paraId="2A7D5519" w14:textId="77777777" w:rsidTr="006754F2">
        <w:tc>
          <w:tcPr>
            <w:tcW w:w="30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3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4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C66D5C" w14:paraId="07FDDEA9" w14:textId="77777777" w:rsidTr="006754F2">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359C5" w14:textId="77777777" w:rsidR="00C66D5C" w:rsidRPr="004D66E1" w:rsidRDefault="00C66D5C" w:rsidP="00C66D5C">
            <w:pPr>
              <w:pStyle w:val="TableRow"/>
              <w:rPr>
                <w:sz w:val="22"/>
                <w:szCs w:val="22"/>
              </w:rPr>
            </w:pPr>
            <w:r w:rsidRPr="004D66E1">
              <w:rPr>
                <w:sz w:val="22"/>
                <w:szCs w:val="22"/>
              </w:rPr>
              <w:t xml:space="preserve">Purchase of standardised diagnostic assessments. </w:t>
            </w:r>
          </w:p>
          <w:p w14:paraId="056F0E12" w14:textId="77777777" w:rsidR="00C66D5C" w:rsidRPr="004D66E1" w:rsidRDefault="00C66D5C" w:rsidP="00C66D5C">
            <w:pPr>
              <w:pStyle w:val="TableRow"/>
              <w:rPr>
                <w:sz w:val="22"/>
                <w:szCs w:val="22"/>
              </w:rPr>
            </w:pPr>
            <w:r w:rsidRPr="004D66E1">
              <w:rPr>
                <w:sz w:val="22"/>
                <w:szCs w:val="22"/>
              </w:rPr>
              <w:t>Training will be provided for staff to ensure assessments are interpreted correctly.</w:t>
            </w:r>
          </w:p>
          <w:p w14:paraId="0A03674F" w14:textId="307FF958" w:rsidR="009148C0" w:rsidRPr="004D66E1" w:rsidRDefault="009148C0" w:rsidP="00C66D5C">
            <w:pPr>
              <w:pStyle w:val="TableRow"/>
              <w:rPr>
                <w:sz w:val="22"/>
                <w:szCs w:val="22"/>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D2AA8" w14:textId="77777777" w:rsidR="00C66D5C" w:rsidRPr="004D66E1" w:rsidRDefault="00C66D5C" w:rsidP="00C66D5C">
            <w:pPr>
              <w:pStyle w:val="TableRowCentered"/>
              <w:jc w:val="left"/>
              <w:rPr>
                <w:color w:val="auto"/>
                <w:sz w:val="22"/>
                <w:szCs w:val="22"/>
              </w:rPr>
            </w:pPr>
            <w:r w:rsidRPr="004D66E1">
              <w:rPr>
                <w:color w:val="auto"/>
                <w:sz w:val="22"/>
                <w:szCs w:val="22"/>
              </w:rPr>
              <w:t>Standardised tests can provide reliable insights into the specific strengths and weaknesses of each pupil to help ensure they receive the correct additional support through interventions or teacher instruction:</w:t>
            </w:r>
          </w:p>
          <w:p w14:paraId="3F9EF0C1" w14:textId="113A0D28" w:rsidR="00C66D5C" w:rsidRPr="004D66E1" w:rsidRDefault="00000000" w:rsidP="00C66D5C">
            <w:pPr>
              <w:pStyle w:val="TableRowCentered"/>
              <w:numPr>
                <w:ilvl w:val="0"/>
                <w:numId w:val="1"/>
              </w:numPr>
              <w:jc w:val="left"/>
              <w:rPr>
                <w:sz w:val="22"/>
                <w:szCs w:val="22"/>
              </w:rPr>
            </w:pPr>
            <w:hyperlink r:id="rId10" w:history="1">
              <w:r w:rsidR="00C66D5C" w:rsidRPr="004D66E1">
                <w:rPr>
                  <w:color w:val="0070C0"/>
                  <w:sz w:val="22"/>
                  <w:szCs w:val="22"/>
                  <w:u w:val="single"/>
                </w:rPr>
                <w:t>Standardised tests | Assessing and Monitoring Pupil Progress | Education Endowment Foundation | EEF</w:t>
              </w:r>
            </w:hyperlink>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6F8A6" w14:textId="723C50CD" w:rsidR="00C66D5C" w:rsidRPr="004D66E1" w:rsidRDefault="00C66D5C">
            <w:pPr>
              <w:pStyle w:val="TableRowCentered"/>
              <w:jc w:val="left"/>
              <w:rPr>
                <w:sz w:val="22"/>
                <w:szCs w:val="22"/>
              </w:rPr>
            </w:pPr>
            <w:r w:rsidRPr="004D66E1">
              <w:rPr>
                <w:sz w:val="22"/>
                <w:szCs w:val="22"/>
              </w:rPr>
              <w:t>1, 2, 3</w:t>
            </w:r>
          </w:p>
        </w:tc>
      </w:tr>
      <w:tr w:rsidR="004842B3" w14:paraId="207F4566" w14:textId="77777777" w:rsidTr="006754F2">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792FA" w14:textId="2830D594" w:rsidR="00CC61BB" w:rsidRPr="004D66E1" w:rsidRDefault="00CC61BB" w:rsidP="00CC61BB">
            <w:pPr>
              <w:pStyle w:val="TableRow"/>
              <w:rPr>
                <w:sz w:val="22"/>
                <w:szCs w:val="22"/>
              </w:rPr>
            </w:pPr>
            <w:r w:rsidRPr="004D66E1">
              <w:rPr>
                <w:sz w:val="22"/>
                <w:szCs w:val="22"/>
              </w:rPr>
              <w:t>Introduction of visualisers for all teaching staff to embed effective use of formative assessments (hinge questions) and feedback.</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19B8B" w14:textId="77777777" w:rsidR="00CC61BB" w:rsidRPr="004D66E1" w:rsidRDefault="002B1571" w:rsidP="00CC61BB">
            <w:pPr>
              <w:pStyle w:val="TableRowCentered"/>
              <w:jc w:val="left"/>
              <w:rPr>
                <w:sz w:val="22"/>
                <w:szCs w:val="22"/>
              </w:rPr>
            </w:pPr>
            <w:r w:rsidRPr="004D66E1">
              <w:rPr>
                <w:sz w:val="22"/>
                <w:szCs w:val="22"/>
              </w:rPr>
              <w:t xml:space="preserve">Effective feedback tends to focus on the task, </w:t>
            </w:r>
            <w:proofErr w:type="gramStart"/>
            <w:r w:rsidRPr="004D66E1">
              <w:rPr>
                <w:sz w:val="22"/>
                <w:szCs w:val="22"/>
              </w:rPr>
              <w:t>subject</w:t>
            </w:r>
            <w:proofErr w:type="gramEnd"/>
            <w:r w:rsidRPr="004D66E1">
              <w:rPr>
                <w:sz w:val="22"/>
                <w:szCs w:val="22"/>
              </w:rPr>
              <w:t xml:space="preserve"> and self-regulation strategies: it provides specific information on how to improve. There are positive impacts from a wide range of feedback approaches – including when feedback is delivered by technology or peers. Impacts are highest when feedback is delivered by teachers.</w:t>
            </w:r>
          </w:p>
          <w:p w14:paraId="1081088A" w14:textId="77777777" w:rsidR="002B1571" w:rsidRPr="004D66E1" w:rsidRDefault="002B1571" w:rsidP="00CC61BB">
            <w:pPr>
              <w:pStyle w:val="TableRowCentered"/>
              <w:jc w:val="left"/>
              <w:rPr>
                <w:sz w:val="22"/>
                <w:szCs w:val="22"/>
              </w:rPr>
            </w:pPr>
          </w:p>
          <w:p w14:paraId="143E24A4" w14:textId="0831513E" w:rsidR="002B1571" w:rsidRPr="004D66E1" w:rsidRDefault="00000000" w:rsidP="00CC61BB">
            <w:pPr>
              <w:pStyle w:val="TableRowCentered"/>
              <w:jc w:val="left"/>
              <w:rPr>
                <w:sz w:val="22"/>
                <w:szCs w:val="22"/>
              </w:rPr>
            </w:pPr>
            <w:hyperlink r:id="rId11" w:history="1">
              <w:r w:rsidR="002B1571" w:rsidRPr="004D66E1">
                <w:rPr>
                  <w:rStyle w:val="Hyperlink"/>
                  <w:sz w:val="22"/>
                  <w:szCs w:val="22"/>
                </w:rPr>
                <w:t>Feedback | Toolkit Strand | Education Endowment Foundation | EEF</w:t>
              </w:r>
            </w:hyperlink>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5450" w14:textId="10A0F8EB" w:rsidR="00CC61BB" w:rsidRPr="004D66E1" w:rsidRDefault="00967128" w:rsidP="00CC61BB">
            <w:pPr>
              <w:pStyle w:val="TableRowCentered"/>
              <w:jc w:val="left"/>
              <w:rPr>
                <w:sz w:val="22"/>
                <w:szCs w:val="22"/>
              </w:rPr>
            </w:pPr>
            <w:r w:rsidRPr="004D66E1">
              <w:rPr>
                <w:sz w:val="22"/>
                <w:szCs w:val="22"/>
              </w:rPr>
              <w:t>1, 2, 3, 5</w:t>
            </w:r>
          </w:p>
        </w:tc>
      </w:tr>
      <w:tr w:rsidR="00C94233" w14:paraId="66AF9021" w14:textId="77777777" w:rsidTr="006754F2">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E83B4" w14:textId="50DB9407" w:rsidR="00C94233" w:rsidRPr="004D66E1" w:rsidRDefault="00C94233" w:rsidP="00C94233">
            <w:pPr>
              <w:pStyle w:val="TableRow"/>
              <w:spacing w:after="120"/>
              <w:rPr>
                <w:rFonts w:cs="Arial"/>
                <w:color w:val="auto"/>
                <w:sz w:val="22"/>
                <w:szCs w:val="22"/>
              </w:rPr>
            </w:pPr>
            <w:r w:rsidRPr="004D66E1">
              <w:rPr>
                <w:rFonts w:cs="Arial"/>
                <w:color w:val="auto"/>
                <w:sz w:val="22"/>
                <w:szCs w:val="22"/>
              </w:rPr>
              <w:t xml:space="preserve">Improving </w:t>
            </w:r>
            <w:r w:rsidR="00B457B0" w:rsidRPr="004D66E1">
              <w:rPr>
                <w:rFonts w:cs="Arial"/>
                <w:color w:val="auto"/>
                <w:sz w:val="22"/>
                <w:szCs w:val="22"/>
              </w:rPr>
              <w:t>literacy</w:t>
            </w:r>
            <w:r w:rsidRPr="004D66E1">
              <w:rPr>
                <w:rFonts w:cs="Arial"/>
                <w:color w:val="auto"/>
                <w:sz w:val="22"/>
                <w:szCs w:val="22"/>
              </w:rPr>
              <w:t xml:space="preserve"> in all subject areas in line with recommendations in the EEF </w:t>
            </w:r>
            <w:hyperlink r:id="rId12" w:history="1">
              <w:r w:rsidRPr="004D66E1">
                <w:rPr>
                  <w:rStyle w:val="Hyperlink"/>
                  <w:rFonts w:cs="Arial"/>
                  <w:color w:val="0070C0"/>
                  <w:sz w:val="22"/>
                  <w:szCs w:val="22"/>
                </w:rPr>
                <w:t>Improving Literacy in Secondary Schools</w:t>
              </w:r>
            </w:hyperlink>
            <w:r w:rsidRPr="004D66E1">
              <w:rPr>
                <w:rFonts w:cs="Arial"/>
                <w:color w:val="0070C0"/>
                <w:sz w:val="22"/>
                <w:szCs w:val="22"/>
              </w:rPr>
              <w:t xml:space="preserve"> </w:t>
            </w:r>
            <w:r w:rsidRPr="004D66E1">
              <w:rPr>
                <w:rFonts w:cs="Arial"/>
                <w:color w:val="auto"/>
                <w:sz w:val="22"/>
                <w:szCs w:val="22"/>
              </w:rPr>
              <w:t>guidance.</w:t>
            </w:r>
          </w:p>
          <w:p w14:paraId="018E5860" w14:textId="4F3E97FE" w:rsidR="00C94233" w:rsidRPr="004D66E1" w:rsidRDefault="00C94233" w:rsidP="00C94233">
            <w:pPr>
              <w:pStyle w:val="TableRow"/>
              <w:rPr>
                <w:iCs/>
                <w:sz w:val="22"/>
                <w:szCs w:val="22"/>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DA15D" w14:textId="77777777" w:rsidR="00C94233" w:rsidRPr="004D66E1" w:rsidRDefault="00C94233" w:rsidP="00C94233">
            <w:pPr>
              <w:suppressAutoHyphens w:val="0"/>
              <w:autoSpaceDN/>
              <w:spacing w:before="60" w:after="60" w:line="240" w:lineRule="auto"/>
              <w:ind w:left="57" w:right="57"/>
              <w:rPr>
                <w:rFonts w:cs="Arial"/>
                <w:color w:val="auto"/>
                <w:sz w:val="22"/>
                <w:szCs w:val="22"/>
              </w:rPr>
            </w:pPr>
            <w:r w:rsidRPr="004D66E1">
              <w:rPr>
                <w:rFonts w:cs="Arial"/>
                <w:color w:val="auto"/>
                <w:sz w:val="22"/>
                <w:szCs w:val="22"/>
              </w:rPr>
              <w:t>Acquiring disciplinary literacy is key for students as they learn new, more complex concepts in each subject:</w:t>
            </w:r>
          </w:p>
          <w:p w14:paraId="08141CF8" w14:textId="77777777" w:rsidR="00C94233" w:rsidRPr="004D66E1" w:rsidRDefault="00000000" w:rsidP="00C94233">
            <w:pPr>
              <w:suppressAutoHyphens w:val="0"/>
              <w:autoSpaceDN/>
              <w:spacing w:before="60" w:after="60" w:line="240" w:lineRule="auto"/>
              <w:ind w:left="57" w:right="57"/>
              <w:rPr>
                <w:rFonts w:cs="Arial"/>
                <w:color w:val="auto"/>
                <w:sz w:val="22"/>
                <w:szCs w:val="22"/>
              </w:rPr>
            </w:pPr>
            <w:hyperlink r:id="rId13" w:history="1">
              <w:r w:rsidR="00C94233" w:rsidRPr="004D66E1">
                <w:rPr>
                  <w:rStyle w:val="Hyperlink"/>
                  <w:rFonts w:cs="Arial"/>
                  <w:color w:val="0070C0"/>
                  <w:sz w:val="22"/>
                  <w:szCs w:val="22"/>
                </w:rPr>
                <w:t>Improving Literacy in Secondary Schools</w:t>
              </w:r>
            </w:hyperlink>
          </w:p>
          <w:p w14:paraId="06A801B5" w14:textId="77777777" w:rsidR="00C94233" w:rsidRPr="004D66E1" w:rsidRDefault="00C94233" w:rsidP="00C94233">
            <w:pPr>
              <w:suppressAutoHyphens w:val="0"/>
              <w:autoSpaceDN/>
              <w:spacing w:before="60" w:after="60" w:line="240" w:lineRule="auto"/>
              <w:ind w:left="57" w:right="57"/>
              <w:rPr>
                <w:rFonts w:cs="Arial"/>
                <w:color w:val="auto"/>
                <w:sz w:val="22"/>
                <w:szCs w:val="22"/>
              </w:rPr>
            </w:pPr>
            <w:r w:rsidRPr="004D66E1">
              <w:rPr>
                <w:rFonts w:cs="Arial"/>
                <w:color w:val="auto"/>
                <w:sz w:val="22"/>
                <w:szCs w:val="22"/>
              </w:rPr>
              <w:t>Reading comprehension, vocabulary and other literacy skills are heavily linked with attainment in maths and English:</w:t>
            </w:r>
          </w:p>
          <w:p w14:paraId="4CE1188A" w14:textId="7656254A" w:rsidR="00C94233" w:rsidRPr="004D66E1" w:rsidRDefault="00000000" w:rsidP="00C94233">
            <w:pPr>
              <w:pStyle w:val="TableRowCentered"/>
              <w:jc w:val="left"/>
              <w:rPr>
                <w:sz w:val="22"/>
                <w:szCs w:val="22"/>
              </w:rPr>
            </w:pPr>
            <w:hyperlink r:id="rId14" w:history="1">
              <w:r w:rsidR="00C94233" w:rsidRPr="004D66E1">
                <w:rPr>
                  <w:color w:val="0070C0"/>
                  <w:sz w:val="22"/>
                  <w:szCs w:val="22"/>
                  <w:u w:val="single"/>
                </w:rPr>
                <w:t>word-gap.pdf (oup.com.cn)</w:t>
              </w:r>
            </w:hyperlink>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752C7" w14:textId="2467E28F" w:rsidR="00C94233" w:rsidRPr="004D66E1" w:rsidRDefault="00C94233" w:rsidP="00C94233">
            <w:pPr>
              <w:pStyle w:val="TableRowCentered"/>
              <w:jc w:val="left"/>
              <w:rPr>
                <w:sz w:val="22"/>
                <w:szCs w:val="22"/>
              </w:rPr>
            </w:pPr>
            <w:r w:rsidRPr="004D66E1">
              <w:rPr>
                <w:sz w:val="22"/>
                <w:szCs w:val="22"/>
              </w:rPr>
              <w:t>1, 2, 3</w:t>
            </w:r>
          </w:p>
        </w:tc>
      </w:tr>
      <w:tr w:rsidR="004842B3" w14:paraId="2A7D5521" w14:textId="77777777" w:rsidTr="006754F2">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398A1CE" w:rsidR="00CC61BB" w:rsidRPr="004D66E1" w:rsidRDefault="00CC61BB" w:rsidP="00CC61BB">
            <w:pPr>
              <w:pStyle w:val="TableRow"/>
              <w:rPr>
                <w:iCs/>
                <w:sz w:val="22"/>
                <w:szCs w:val="22"/>
              </w:rPr>
            </w:pPr>
            <w:r w:rsidRPr="004D66E1">
              <w:rPr>
                <w:iCs/>
                <w:sz w:val="22"/>
                <w:szCs w:val="22"/>
              </w:rPr>
              <w:t>Additional resources/materials</w:t>
            </w:r>
            <w:r w:rsidR="006754F2" w:rsidRPr="004D66E1">
              <w:rPr>
                <w:iCs/>
                <w:sz w:val="22"/>
                <w:szCs w:val="22"/>
              </w:rPr>
              <w:t>/learning platforms</w:t>
            </w:r>
            <w:r w:rsidRPr="004D66E1">
              <w:rPr>
                <w:iCs/>
                <w:sz w:val="22"/>
                <w:szCs w:val="22"/>
              </w:rPr>
              <w:t xml:space="preserve"> to support learning outside the </w:t>
            </w:r>
            <w:r w:rsidRPr="004D66E1">
              <w:rPr>
                <w:iCs/>
                <w:sz w:val="22"/>
                <w:szCs w:val="22"/>
              </w:rPr>
              <w:lastRenderedPageBreak/>
              <w:t>classroom (revision/homework)</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F7890" w14:textId="78ACACA4" w:rsidR="00A35DDE" w:rsidRPr="004D66E1" w:rsidRDefault="00A35DDE" w:rsidP="00A35DDE">
            <w:pPr>
              <w:pStyle w:val="TableRowCentered"/>
              <w:jc w:val="left"/>
              <w:rPr>
                <w:sz w:val="22"/>
                <w:szCs w:val="22"/>
              </w:rPr>
            </w:pPr>
            <w:r w:rsidRPr="004D66E1">
              <w:rPr>
                <w:sz w:val="22"/>
                <w:szCs w:val="22"/>
              </w:rPr>
              <w:lastRenderedPageBreak/>
              <w:t>Learning at home</w:t>
            </w:r>
            <w:r w:rsidR="00626028" w:rsidRPr="004D66E1">
              <w:rPr>
                <w:sz w:val="22"/>
                <w:szCs w:val="22"/>
              </w:rPr>
              <w:t xml:space="preserve"> has a positive impact on average (+ 5 months), particularly with pupils in secondary </w:t>
            </w:r>
          </w:p>
          <w:p w14:paraId="1367F9E8" w14:textId="16EAEEB5" w:rsidR="00A35DDE" w:rsidRPr="004D66E1" w:rsidRDefault="00A35DDE" w:rsidP="00A35DDE">
            <w:pPr>
              <w:pStyle w:val="TableRowCentered"/>
              <w:jc w:val="left"/>
              <w:rPr>
                <w:sz w:val="22"/>
                <w:szCs w:val="22"/>
              </w:rPr>
            </w:pPr>
          </w:p>
          <w:p w14:paraId="4DD45CC9" w14:textId="3228E28A" w:rsidR="00A35DDE" w:rsidRPr="004D66E1" w:rsidRDefault="00000000" w:rsidP="00A35DDE">
            <w:pPr>
              <w:pStyle w:val="TableRowCentered"/>
              <w:jc w:val="left"/>
              <w:rPr>
                <w:sz w:val="22"/>
                <w:szCs w:val="22"/>
              </w:rPr>
            </w:pPr>
            <w:hyperlink r:id="rId15" w:history="1">
              <w:r w:rsidR="00A35DDE" w:rsidRPr="004D66E1">
                <w:rPr>
                  <w:rStyle w:val="Hyperlink"/>
                  <w:sz w:val="22"/>
                  <w:szCs w:val="22"/>
                </w:rPr>
                <w:t>Homework | Toolkit Strand | Education Endowment Foundation | EEF</w:t>
              </w:r>
            </w:hyperlink>
          </w:p>
          <w:p w14:paraId="2A7D551F" w14:textId="31A795D5" w:rsidR="00CC61BB" w:rsidRPr="004D66E1" w:rsidRDefault="00CC61BB" w:rsidP="00626028">
            <w:pPr>
              <w:pStyle w:val="TableRowCentered"/>
              <w:jc w:val="left"/>
              <w:rPr>
                <w:sz w:val="22"/>
                <w:szCs w:val="22"/>
              </w:rPr>
            </w:pP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F9B56C3" w:rsidR="00967128" w:rsidRPr="004D66E1" w:rsidRDefault="00967128" w:rsidP="00CC61BB">
            <w:pPr>
              <w:pStyle w:val="TableRowCentered"/>
              <w:jc w:val="left"/>
              <w:rPr>
                <w:sz w:val="22"/>
                <w:szCs w:val="22"/>
              </w:rPr>
            </w:pPr>
            <w:r w:rsidRPr="004D66E1">
              <w:rPr>
                <w:sz w:val="22"/>
                <w:szCs w:val="22"/>
              </w:rPr>
              <w:lastRenderedPageBreak/>
              <w:t>1, 2, 3, 5, 6, 7, 8</w:t>
            </w:r>
          </w:p>
        </w:tc>
      </w:tr>
      <w:tr w:rsidR="00E01724" w14:paraId="102DFB26" w14:textId="77777777" w:rsidTr="006754F2">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78BA2" w14:textId="08E93E4B" w:rsidR="00E01724" w:rsidRPr="004D66E1" w:rsidRDefault="00E01724" w:rsidP="00CC61BB">
            <w:pPr>
              <w:pStyle w:val="TableRow"/>
              <w:rPr>
                <w:iCs/>
                <w:sz w:val="22"/>
                <w:szCs w:val="22"/>
              </w:rPr>
            </w:pPr>
            <w:r>
              <w:rPr>
                <w:iCs/>
                <w:sz w:val="22"/>
                <w:szCs w:val="22"/>
              </w:rPr>
              <w:t xml:space="preserve">Additional Trust leadership capacity and Quality Assurance work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165D" w14:textId="77777777" w:rsidR="00E01724" w:rsidRDefault="00E01724" w:rsidP="00A35DDE">
            <w:pPr>
              <w:pStyle w:val="TableRowCentered"/>
              <w:jc w:val="left"/>
              <w:rPr>
                <w:sz w:val="22"/>
                <w:szCs w:val="22"/>
              </w:rPr>
            </w:pPr>
            <w:r w:rsidRPr="00E01724">
              <w:rPr>
                <w:sz w:val="22"/>
                <w:szCs w:val="22"/>
              </w:rPr>
              <w:t xml:space="preserve">EEF (2020) highlights the importance and effectiveness of monitoring and evaluation </w:t>
            </w:r>
            <w:proofErr w:type="gramStart"/>
            <w:r w:rsidRPr="00E01724">
              <w:rPr>
                <w:sz w:val="22"/>
                <w:szCs w:val="22"/>
              </w:rPr>
              <w:t>with regard to</w:t>
            </w:r>
            <w:proofErr w:type="gramEnd"/>
            <w:r w:rsidRPr="00E01724">
              <w:rPr>
                <w:sz w:val="22"/>
                <w:szCs w:val="22"/>
              </w:rPr>
              <w:t xml:space="preserve"> PP action, Trust support will ensure objective and supportive approach is maintained</w:t>
            </w:r>
            <w:r w:rsidR="00986EA4">
              <w:rPr>
                <w:sz w:val="22"/>
                <w:szCs w:val="22"/>
              </w:rPr>
              <w:t xml:space="preserve"> - </w:t>
            </w:r>
            <w:r w:rsidR="00986EA4" w:rsidRPr="00986EA4">
              <w:rPr>
                <w:sz w:val="22"/>
                <w:szCs w:val="22"/>
              </w:rPr>
              <w:t>School leaders must continually monitor the progress of the pupil premium strategy, adapting their approach when and where appropriate.</w:t>
            </w:r>
          </w:p>
          <w:p w14:paraId="59463F42" w14:textId="77777777" w:rsidR="00986EA4" w:rsidRDefault="00986EA4" w:rsidP="00A35DDE">
            <w:pPr>
              <w:pStyle w:val="TableRowCentered"/>
              <w:jc w:val="left"/>
              <w:rPr>
                <w:sz w:val="22"/>
                <w:szCs w:val="22"/>
              </w:rPr>
            </w:pPr>
          </w:p>
          <w:p w14:paraId="58B4C3CE" w14:textId="3E934AC2" w:rsidR="00986EA4" w:rsidRPr="00E01724" w:rsidRDefault="00000000" w:rsidP="00A35DDE">
            <w:pPr>
              <w:pStyle w:val="TableRowCentered"/>
              <w:jc w:val="left"/>
              <w:rPr>
                <w:sz w:val="22"/>
                <w:szCs w:val="22"/>
              </w:rPr>
            </w:pPr>
            <w:hyperlink r:id="rId16" w:history="1">
              <w:r w:rsidR="00986EA4" w:rsidRPr="00986EA4">
                <w:rPr>
                  <w:rStyle w:val="Hyperlink"/>
                  <w:sz w:val="22"/>
                  <w:szCs w:val="22"/>
                </w:rPr>
                <w:t>Using Pupil Premium Funding Effectively | Education Endowment Foundation | EEF</w:t>
              </w:r>
            </w:hyperlink>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9CA4" w14:textId="423F6438" w:rsidR="00E01724" w:rsidRPr="004D66E1" w:rsidRDefault="00B777C7" w:rsidP="00CC61BB">
            <w:pPr>
              <w:pStyle w:val="TableRowCentered"/>
              <w:jc w:val="left"/>
              <w:rPr>
                <w:sz w:val="22"/>
                <w:szCs w:val="22"/>
              </w:rPr>
            </w:pPr>
            <w:r w:rsidRPr="00B777C7">
              <w:rPr>
                <w:sz w:val="22"/>
                <w:szCs w:val="22"/>
              </w:rPr>
              <w:t>1, 2, 3, 5, 6, 7, 8</w:t>
            </w:r>
          </w:p>
        </w:tc>
      </w:tr>
      <w:tr w:rsidR="008F083A" w14:paraId="0FF79FE8" w14:textId="77777777" w:rsidTr="006754F2">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3D1DC" w14:textId="3BBC1E25" w:rsidR="008F083A" w:rsidRDefault="008F083A" w:rsidP="008F083A">
            <w:pPr>
              <w:pStyle w:val="TableRow"/>
              <w:rPr>
                <w:iCs/>
                <w:sz w:val="22"/>
                <w:szCs w:val="22"/>
              </w:rPr>
            </w:pPr>
            <w:r>
              <w:rPr>
                <w:iCs/>
                <w:sz w:val="22"/>
                <w:szCs w:val="22"/>
              </w:rPr>
              <w:t xml:space="preserve">Trust wide CPD ensuring consistency across all CORE Education schools </w:t>
            </w:r>
            <w:r w:rsidRPr="008F083A">
              <w:rPr>
                <w:iCs/>
                <w:sz w:val="22"/>
                <w:szCs w:val="22"/>
              </w:rPr>
              <w:t>utilising</w:t>
            </w:r>
            <w:r>
              <w:rPr>
                <w:iCs/>
                <w:sz w:val="22"/>
                <w:szCs w:val="22"/>
              </w:rPr>
              <w:t xml:space="preserve"> </w:t>
            </w:r>
            <w:r w:rsidRPr="008F083A">
              <w:rPr>
                <w:iCs/>
                <w:sz w:val="22"/>
                <w:szCs w:val="22"/>
              </w:rPr>
              <w:t>experience, and context to</w:t>
            </w:r>
            <w:r>
              <w:rPr>
                <w:iCs/>
                <w:sz w:val="22"/>
                <w:szCs w:val="22"/>
              </w:rPr>
              <w:t xml:space="preserve"> </w:t>
            </w:r>
            <w:r w:rsidRPr="008F083A">
              <w:rPr>
                <w:iCs/>
                <w:sz w:val="22"/>
                <w:szCs w:val="22"/>
              </w:rPr>
              <w:t>provide best value and</w:t>
            </w:r>
            <w:r>
              <w:rPr>
                <w:iCs/>
                <w:sz w:val="22"/>
                <w:szCs w:val="22"/>
              </w:rPr>
              <w:t xml:space="preserve"> </w:t>
            </w:r>
            <w:r w:rsidRPr="008F083A">
              <w:rPr>
                <w:iCs/>
                <w:sz w:val="22"/>
                <w:szCs w:val="22"/>
              </w:rPr>
              <w:t>impact for disadvantaged</w:t>
            </w:r>
            <w:r>
              <w:rPr>
                <w:iCs/>
                <w:sz w:val="22"/>
                <w:szCs w:val="22"/>
              </w:rPr>
              <w:t xml:space="preserve"> </w:t>
            </w:r>
            <w:r w:rsidRPr="008F083A">
              <w:rPr>
                <w:iCs/>
                <w:sz w:val="22"/>
                <w:szCs w:val="22"/>
              </w:rPr>
              <w:t>students.</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00DD7" w14:textId="77777777" w:rsidR="008F083A" w:rsidRDefault="008F083A" w:rsidP="00A35DDE">
            <w:pPr>
              <w:pStyle w:val="TableRowCentered"/>
              <w:jc w:val="left"/>
              <w:rPr>
                <w:sz w:val="22"/>
                <w:szCs w:val="18"/>
              </w:rPr>
            </w:pPr>
            <w:r w:rsidRPr="008F083A">
              <w:rPr>
                <w:sz w:val="22"/>
                <w:szCs w:val="18"/>
              </w:rPr>
              <w:t xml:space="preserve">EEF (2020) states that evidence informed teachers and leaders </w:t>
            </w:r>
            <w:proofErr w:type="gramStart"/>
            <w:r w:rsidRPr="008F083A">
              <w:rPr>
                <w:sz w:val="22"/>
                <w:szCs w:val="18"/>
              </w:rPr>
              <w:t>are able to</w:t>
            </w:r>
            <w:proofErr w:type="gramEnd"/>
            <w:r w:rsidRPr="008F083A">
              <w:rPr>
                <w:sz w:val="22"/>
                <w:szCs w:val="18"/>
              </w:rPr>
              <w:t xml:space="preserve"> combine findings from research and professional expertise to make decisions. This involves comparing how similar challenges have been tackled, and in the consideration of likely cost-effectiveness of a range of approaches.</w:t>
            </w:r>
          </w:p>
          <w:p w14:paraId="40A3DD47" w14:textId="3214CFBC" w:rsidR="008F083A" w:rsidRDefault="008F083A" w:rsidP="00A35DDE">
            <w:pPr>
              <w:pStyle w:val="TableRowCentered"/>
              <w:jc w:val="left"/>
              <w:rPr>
                <w:sz w:val="22"/>
                <w:szCs w:val="18"/>
              </w:rPr>
            </w:pPr>
          </w:p>
          <w:p w14:paraId="3936C4FB" w14:textId="760B8F1B" w:rsidR="008F083A" w:rsidRPr="008F083A" w:rsidRDefault="00000000" w:rsidP="001847B7">
            <w:pPr>
              <w:pStyle w:val="TableRowCentered"/>
              <w:jc w:val="left"/>
              <w:rPr>
                <w:sz w:val="22"/>
                <w:szCs w:val="18"/>
              </w:rPr>
            </w:pPr>
            <w:hyperlink r:id="rId17" w:history="1">
              <w:r w:rsidR="009367B4" w:rsidRPr="009367B4">
                <w:rPr>
                  <w:rStyle w:val="Hyperlink"/>
                  <w:sz w:val="22"/>
                  <w:szCs w:val="18"/>
                </w:rPr>
                <w:t>Effective Professional Development | Education Endowment Foundation | EEF</w:t>
              </w:r>
            </w:hyperlink>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FA5C8" w14:textId="5F30EBA3" w:rsidR="008F083A" w:rsidRPr="004D66E1" w:rsidRDefault="00B777C7" w:rsidP="00CC61BB">
            <w:pPr>
              <w:pStyle w:val="TableRowCentered"/>
              <w:jc w:val="left"/>
              <w:rPr>
                <w:sz w:val="22"/>
                <w:szCs w:val="22"/>
              </w:rPr>
            </w:pPr>
            <w:r w:rsidRPr="00B777C7">
              <w:rPr>
                <w:sz w:val="22"/>
                <w:szCs w:val="22"/>
              </w:rPr>
              <w:t>1, 2, 3, 5, 6, 7, 8</w:t>
            </w:r>
          </w:p>
        </w:tc>
      </w:tr>
    </w:tbl>
    <w:p w14:paraId="2A7D5522" w14:textId="3DF3DC29" w:rsidR="00C94233" w:rsidRDefault="00C94233">
      <w:pPr>
        <w:keepNext/>
        <w:spacing w:after="60"/>
        <w:outlineLvl w:val="1"/>
      </w:pPr>
    </w:p>
    <w:p w14:paraId="2A7D5523" w14:textId="3398BFE9" w:rsidR="00E66558" w:rsidRDefault="009D71E8" w:rsidP="00C94233">
      <w:pPr>
        <w:suppressAutoHyphens w:val="0"/>
        <w:spacing w:after="0" w:line="240" w:lineRule="auto"/>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94F96AF" w:rsidR="00E66558" w:rsidRDefault="009D71E8" w:rsidP="257587FA">
      <w:pPr>
        <w:rPr>
          <w:highlight w:val="yellow"/>
        </w:rPr>
      </w:pPr>
      <w:r>
        <w:t xml:space="preserve">Budgeted </w:t>
      </w:r>
      <w:bookmarkStart w:id="18" w:name="_Int_ytuw0oMZ"/>
      <w:r w:rsidR="24C1E272">
        <w:t>cost: £</w:t>
      </w:r>
      <w:bookmarkEnd w:id="18"/>
      <w:r w:rsidR="24C1E272">
        <w:t xml:space="preserve">83,400 </w:t>
      </w:r>
      <w:r w:rsidR="75EA700F" w:rsidRPr="257587FA">
        <w:rPr>
          <w:sz w:val="20"/>
          <w:szCs w:val="20"/>
          <w:highlight w:val="yellow"/>
        </w:rPr>
        <w:t>(provisional estimate)</w:t>
      </w:r>
      <w:r w:rsidR="75EA700F" w:rsidRPr="257587FA">
        <w:rPr>
          <w:sz w:val="20"/>
          <w:szCs w:val="20"/>
        </w:rPr>
        <w:t xml:space="preserve"> </w:t>
      </w:r>
    </w:p>
    <w:tbl>
      <w:tblPr>
        <w:tblW w:w="5000" w:type="pct"/>
        <w:tblCellMar>
          <w:left w:w="10" w:type="dxa"/>
          <w:right w:w="10" w:type="dxa"/>
        </w:tblCellMar>
        <w:tblLook w:val="04A0" w:firstRow="1" w:lastRow="0" w:firstColumn="1" w:lastColumn="0" w:noHBand="0" w:noVBand="1"/>
      </w:tblPr>
      <w:tblGrid>
        <w:gridCol w:w="2679"/>
        <w:gridCol w:w="4269"/>
        <w:gridCol w:w="2538"/>
      </w:tblGrid>
      <w:tr w:rsidR="00E66558" w14:paraId="2A7D5528" w14:textId="77777777" w:rsidTr="257587FA">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rsidRPr="004D66E1" w14:paraId="2A7D5530" w14:textId="77777777" w:rsidTr="257587FA">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6BBA85" w14:textId="6E92C7B2" w:rsidR="00E66558" w:rsidRPr="004D66E1" w:rsidRDefault="77F1C7FE" w:rsidP="257587FA">
            <w:pPr>
              <w:pStyle w:val="TableRow"/>
              <w:rPr>
                <w:sz w:val="22"/>
                <w:szCs w:val="22"/>
              </w:rPr>
            </w:pPr>
            <w:r w:rsidRPr="257587FA">
              <w:rPr>
                <w:sz w:val="22"/>
                <w:szCs w:val="22"/>
              </w:rPr>
              <w:t>Graduate Tutors in Core Subjects (English, Maths</w:t>
            </w:r>
            <w:r w:rsidR="6AAD4C70" w:rsidRPr="257587FA">
              <w:rPr>
                <w:sz w:val="22"/>
                <w:szCs w:val="22"/>
              </w:rPr>
              <w:t xml:space="preserve"> and </w:t>
            </w:r>
            <w:r w:rsidRPr="257587FA">
              <w:rPr>
                <w:sz w:val="22"/>
                <w:szCs w:val="22"/>
              </w:rPr>
              <w:t>Science)</w:t>
            </w:r>
            <w:r w:rsidR="7AEEA4A5" w:rsidRPr="257587FA">
              <w:rPr>
                <w:sz w:val="22"/>
                <w:szCs w:val="22"/>
              </w:rPr>
              <w:t xml:space="preserve"> </w:t>
            </w:r>
          </w:p>
          <w:p w14:paraId="2A7D552D" w14:textId="52AA21E8" w:rsidR="000A5308" w:rsidRPr="004D66E1" w:rsidRDefault="000A5308">
            <w:pPr>
              <w:pStyle w:val="TableRow"/>
              <w:rPr>
                <w:iCs/>
                <w:sz w:val="22"/>
                <w:szCs w:val="22"/>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106079" w14:textId="77777777" w:rsidR="006754F2" w:rsidRPr="004D66E1" w:rsidRDefault="006754F2" w:rsidP="006754F2">
            <w:pPr>
              <w:pStyle w:val="TableRowCentered"/>
              <w:jc w:val="left"/>
              <w:rPr>
                <w:sz w:val="22"/>
                <w:szCs w:val="22"/>
              </w:rPr>
            </w:pPr>
            <w:r w:rsidRPr="004D66E1">
              <w:rPr>
                <w:sz w:val="22"/>
                <w:szCs w:val="22"/>
              </w:rPr>
              <w:t>Tuition targeted at specific needs and knowledge gaps can be an effective method to support low attaining pupils or those falling behind, both one-to-one:</w:t>
            </w:r>
          </w:p>
          <w:p w14:paraId="6151F1C0" w14:textId="77777777" w:rsidR="006754F2" w:rsidRPr="004D66E1" w:rsidRDefault="00000000" w:rsidP="006754F2">
            <w:pPr>
              <w:pStyle w:val="TableRowCentered"/>
              <w:jc w:val="left"/>
              <w:rPr>
                <w:sz w:val="22"/>
                <w:szCs w:val="22"/>
              </w:rPr>
            </w:pPr>
            <w:hyperlink r:id="rId18" w:history="1">
              <w:r w:rsidR="006754F2" w:rsidRPr="004D66E1">
                <w:rPr>
                  <w:rStyle w:val="Hyperlink"/>
                  <w:sz w:val="22"/>
                  <w:szCs w:val="22"/>
                </w:rPr>
                <w:t>One to one tuition | EEF (educationendowmentfoundation.org.uk)</w:t>
              </w:r>
            </w:hyperlink>
          </w:p>
          <w:p w14:paraId="1FB42CE4" w14:textId="77777777" w:rsidR="006754F2" w:rsidRPr="004D66E1" w:rsidRDefault="006754F2" w:rsidP="006754F2">
            <w:pPr>
              <w:pStyle w:val="TableRowCentered"/>
              <w:jc w:val="left"/>
              <w:rPr>
                <w:sz w:val="22"/>
                <w:szCs w:val="22"/>
              </w:rPr>
            </w:pPr>
            <w:r w:rsidRPr="004D66E1">
              <w:rPr>
                <w:sz w:val="22"/>
                <w:szCs w:val="22"/>
              </w:rPr>
              <w:t>And in small groups:</w:t>
            </w:r>
          </w:p>
          <w:p w14:paraId="2A7D552E" w14:textId="5E2AEE02" w:rsidR="00E66558" w:rsidRPr="004D66E1" w:rsidRDefault="00000000" w:rsidP="006754F2">
            <w:pPr>
              <w:pStyle w:val="TableRowCentered"/>
              <w:jc w:val="left"/>
              <w:rPr>
                <w:sz w:val="22"/>
                <w:szCs w:val="22"/>
              </w:rPr>
            </w:pPr>
            <w:hyperlink r:id="rId19" w:history="1">
              <w:r w:rsidR="006754F2" w:rsidRPr="004D66E1">
                <w:rPr>
                  <w:rStyle w:val="Hyperlink"/>
                  <w:sz w:val="22"/>
                  <w:szCs w:val="22"/>
                </w:rPr>
                <w:t>Small group tuition | Toolkit Strand | Education Endowment Foundation | EEF</w:t>
              </w:r>
            </w:hyperlink>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61A3596A" w:rsidR="00E66558" w:rsidRPr="004D66E1" w:rsidRDefault="00967128">
            <w:pPr>
              <w:pStyle w:val="TableRowCentered"/>
              <w:jc w:val="left"/>
              <w:rPr>
                <w:sz w:val="22"/>
                <w:szCs w:val="22"/>
              </w:rPr>
            </w:pPr>
            <w:r w:rsidRPr="004D66E1">
              <w:rPr>
                <w:sz w:val="22"/>
                <w:szCs w:val="22"/>
              </w:rPr>
              <w:t>1, 2, 3</w:t>
            </w:r>
          </w:p>
        </w:tc>
      </w:tr>
      <w:tr w:rsidR="00C94233" w:rsidRPr="004D66E1" w14:paraId="0CEEEF71" w14:textId="77777777" w:rsidTr="257587FA">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FAD7F7" w14:textId="77777777" w:rsidR="00C94233" w:rsidRPr="004D66E1" w:rsidRDefault="00C94233" w:rsidP="00C94233">
            <w:pPr>
              <w:pStyle w:val="TableRow"/>
              <w:rPr>
                <w:iCs/>
                <w:color w:val="auto"/>
                <w:sz w:val="22"/>
                <w:szCs w:val="22"/>
              </w:rPr>
            </w:pPr>
            <w:r w:rsidRPr="004D66E1">
              <w:rPr>
                <w:color w:val="auto"/>
                <w:sz w:val="22"/>
                <w:szCs w:val="22"/>
              </w:rPr>
              <w:lastRenderedPageBreak/>
              <w:t>Improved reading comprehension among disadvantaged pupils.</w:t>
            </w:r>
          </w:p>
          <w:p w14:paraId="4391F98E" w14:textId="12CABF11" w:rsidR="00C94233" w:rsidRPr="004D66E1" w:rsidRDefault="00C94233" w:rsidP="00C94233">
            <w:pPr>
              <w:pStyle w:val="TableRow"/>
              <w:rPr>
                <w:iCs/>
                <w:sz w:val="22"/>
                <w:szCs w:val="22"/>
              </w:rPr>
            </w:pP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3BCFBC" w14:textId="77777777" w:rsidR="00C94233" w:rsidRPr="004D66E1" w:rsidRDefault="00C94233" w:rsidP="00C94233">
            <w:pPr>
              <w:suppressAutoHyphens w:val="0"/>
              <w:autoSpaceDN/>
              <w:spacing w:before="60" w:after="60" w:line="240" w:lineRule="auto"/>
              <w:ind w:left="57" w:right="57"/>
              <w:rPr>
                <w:rFonts w:cs="Arial"/>
                <w:color w:val="auto"/>
                <w:sz w:val="22"/>
                <w:szCs w:val="22"/>
              </w:rPr>
            </w:pPr>
            <w:r w:rsidRPr="004D66E1">
              <w:rPr>
                <w:rFonts w:cs="Arial"/>
                <w:color w:val="auto"/>
                <w:sz w:val="22"/>
                <w:szCs w:val="22"/>
              </w:rPr>
              <w:t xml:space="preserve">Reading comprehension strategies can have a positive impact on pupils’ ability to understand a text, and this is particularly the case when interventions are delivered over a shorter timespan: </w:t>
            </w:r>
          </w:p>
          <w:p w14:paraId="521F90F4" w14:textId="5C9D3131" w:rsidR="00C94233" w:rsidRPr="004D66E1" w:rsidRDefault="00000000" w:rsidP="00C94233">
            <w:pPr>
              <w:pStyle w:val="TableRowCentered"/>
              <w:jc w:val="left"/>
              <w:rPr>
                <w:sz w:val="22"/>
                <w:szCs w:val="22"/>
              </w:rPr>
            </w:pPr>
            <w:hyperlink r:id="rId20" w:history="1">
              <w:r w:rsidR="00C94233" w:rsidRPr="004D66E1">
                <w:rPr>
                  <w:color w:val="0070C0"/>
                  <w:sz w:val="22"/>
                  <w:szCs w:val="22"/>
                  <w:u w:val="single"/>
                </w:rPr>
                <w:t>Reading comprehension strategies | Toolkit Strand | Education Endowment Foundation | EEF</w:t>
              </w:r>
            </w:hyperlink>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08CEB6" w14:textId="15751319" w:rsidR="00C94233" w:rsidRPr="004D66E1" w:rsidRDefault="00C94233" w:rsidP="00C94233">
            <w:pPr>
              <w:pStyle w:val="TableRowCentered"/>
              <w:jc w:val="left"/>
              <w:rPr>
                <w:sz w:val="22"/>
                <w:szCs w:val="22"/>
              </w:rPr>
            </w:pPr>
            <w:r w:rsidRPr="004D66E1">
              <w:rPr>
                <w:sz w:val="22"/>
                <w:szCs w:val="22"/>
              </w:rPr>
              <w:t xml:space="preserve">1, 2, 3, </w:t>
            </w:r>
          </w:p>
        </w:tc>
      </w:tr>
      <w:tr w:rsidR="00B2504A" w:rsidRPr="004D66E1" w14:paraId="059A6CEC" w14:textId="77777777" w:rsidTr="257587FA">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CFA83F" w14:textId="49EECB07" w:rsidR="00B2504A" w:rsidRPr="004D66E1" w:rsidRDefault="00B2504A" w:rsidP="00C94233">
            <w:pPr>
              <w:pStyle w:val="TableRow"/>
              <w:rPr>
                <w:color w:val="auto"/>
                <w:sz w:val="22"/>
                <w:szCs w:val="22"/>
              </w:rPr>
            </w:pPr>
            <w:r>
              <w:rPr>
                <w:color w:val="auto"/>
                <w:sz w:val="22"/>
                <w:szCs w:val="22"/>
              </w:rPr>
              <w:t>External agency delivering curriculum subject focus days for targeted students to address underachievement</w:t>
            </w: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32D0CE" w14:textId="77777777" w:rsidR="00B2504A" w:rsidRPr="004D66E1" w:rsidRDefault="00B2504A" w:rsidP="00B2504A">
            <w:pPr>
              <w:pStyle w:val="TableRowCentered"/>
              <w:jc w:val="left"/>
              <w:rPr>
                <w:sz w:val="22"/>
                <w:szCs w:val="22"/>
              </w:rPr>
            </w:pPr>
            <w:r w:rsidRPr="004D66E1">
              <w:rPr>
                <w:sz w:val="22"/>
                <w:szCs w:val="22"/>
              </w:rPr>
              <w:t>Tuition targeted at specific needs and knowledge gaps can be an effective method to support low attaining pupils or those falling behind, both one-to-one:</w:t>
            </w:r>
          </w:p>
          <w:p w14:paraId="608152DD" w14:textId="77777777" w:rsidR="00B2504A" w:rsidRPr="004D66E1" w:rsidRDefault="00000000" w:rsidP="00B2504A">
            <w:pPr>
              <w:pStyle w:val="TableRowCentered"/>
              <w:jc w:val="left"/>
              <w:rPr>
                <w:sz w:val="22"/>
                <w:szCs w:val="22"/>
              </w:rPr>
            </w:pPr>
            <w:hyperlink r:id="rId21" w:history="1">
              <w:r w:rsidR="00B2504A" w:rsidRPr="004D66E1">
                <w:rPr>
                  <w:rStyle w:val="Hyperlink"/>
                  <w:sz w:val="22"/>
                  <w:szCs w:val="22"/>
                </w:rPr>
                <w:t>One to one tuition | EEF (educationendowmentfoundation.org.uk)</w:t>
              </w:r>
            </w:hyperlink>
          </w:p>
          <w:p w14:paraId="5C54D4EE" w14:textId="77777777" w:rsidR="00B2504A" w:rsidRPr="004D66E1" w:rsidRDefault="00B2504A" w:rsidP="00B2504A">
            <w:pPr>
              <w:pStyle w:val="TableRowCentered"/>
              <w:jc w:val="left"/>
              <w:rPr>
                <w:sz w:val="22"/>
                <w:szCs w:val="22"/>
              </w:rPr>
            </w:pPr>
            <w:r w:rsidRPr="004D66E1">
              <w:rPr>
                <w:sz w:val="22"/>
                <w:szCs w:val="22"/>
              </w:rPr>
              <w:t>And in small groups:</w:t>
            </w:r>
          </w:p>
          <w:p w14:paraId="467661B6" w14:textId="3D7996D6" w:rsidR="00B2504A" w:rsidRPr="004D66E1" w:rsidRDefault="00000000" w:rsidP="00B2504A">
            <w:pPr>
              <w:suppressAutoHyphens w:val="0"/>
              <w:autoSpaceDN/>
              <w:spacing w:before="60" w:after="60" w:line="240" w:lineRule="auto"/>
              <w:ind w:left="57" w:right="57"/>
              <w:rPr>
                <w:sz w:val="22"/>
                <w:szCs w:val="22"/>
              </w:rPr>
            </w:pPr>
            <w:hyperlink r:id="rId22" w:history="1">
              <w:r w:rsidR="00B2504A" w:rsidRPr="004D66E1">
                <w:rPr>
                  <w:rStyle w:val="Hyperlink"/>
                  <w:sz w:val="22"/>
                  <w:szCs w:val="22"/>
                </w:rPr>
                <w:t>Small group tuition | Toolkit Strand | Education Endowment Foundation | EEF</w:t>
              </w:r>
            </w:hyperlink>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8F6174" w14:textId="58ABE8D1" w:rsidR="00B2504A" w:rsidRPr="004D66E1" w:rsidRDefault="00B777C7" w:rsidP="00C94233">
            <w:pPr>
              <w:pStyle w:val="TableRowCentered"/>
              <w:jc w:val="left"/>
              <w:rPr>
                <w:sz w:val="22"/>
                <w:szCs w:val="22"/>
              </w:rPr>
            </w:pPr>
            <w:r w:rsidRPr="004D66E1">
              <w:rPr>
                <w:sz w:val="22"/>
                <w:szCs w:val="22"/>
              </w:rPr>
              <w:t>1, 2, 3</w:t>
            </w:r>
          </w:p>
        </w:tc>
      </w:tr>
      <w:tr w:rsidR="00B777C7" w:rsidRPr="004D66E1" w14:paraId="576AE797" w14:textId="77777777" w:rsidTr="257587FA">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19CCDB" w14:textId="12BF4C1A" w:rsidR="00B777C7" w:rsidRPr="004D66E1" w:rsidRDefault="00B777C7" w:rsidP="00B777C7">
            <w:pPr>
              <w:pStyle w:val="TableRow"/>
              <w:rPr>
                <w:color w:val="auto"/>
                <w:sz w:val="22"/>
                <w:szCs w:val="22"/>
              </w:rPr>
            </w:pPr>
            <w:r w:rsidRPr="004D66E1">
              <w:rPr>
                <w:color w:val="auto"/>
                <w:sz w:val="22"/>
                <w:szCs w:val="22"/>
              </w:rPr>
              <w:t>Tutoring programme for disadvantaged students</w:t>
            </w: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343976" w14:textId="77777777" w:rsidR="00B777C7" w:rsidRPr="004D66E1" w:rsidRDefault="00B777C7" w:rsidP="00B777C7">
            <w:pPr>
              <w:suppressAutoHyphens w:val="0"/>
              <w:autoSpaceDN/>
              <w:spacing w:before="60" w:after="60" w:line="240" w:lineRule="auto"/>
              <w:ind w:left="57" w:right="57"/>
              <w:rPr>
                <w:sz w:val="22"/>
                <w:szCs w:val="22"/>
              </w:rPr>
            </w:pPr>
            <w:r w:rsidRPr="004D66E1">
              <w:rPr>
                <w:sz w:val="22"/>
                <w:szCs w:val="22"/>
              </w:rPr>
              <w:t>Tuition targeted at specific needs and knowledge gaps can be an effective method to support low attaining pupils or those falling behind, both one-to-one:</w:t>
            </w:r>
          </w:p>
          <w:p w14:paraId="75E65887" w14:textId="77777777" w:rsidR="00B777C7" w:rsidRPr="004D66E1" w:rsidRDefault="00000000" w:rsidP="00B777C7">
            <w:pPr>
              <w:pStyle w:val="TableRowCentered"/>
              <w:jc w:val="left"/>
              <w:rPr>
                <w:sz w:val="22"/>
                <w:szCs w:val="22"/>
              </w:rPr>
            </w:pPr>
            <w:hyperlink r:id="rId23" w:history="1">
              <w:r w:rsidR="00B777C7" w:rsidRPr="004D66E1">
                <w:rPr>
                  <w:rStyle w:val="Hyperlink"/>
                  <w:sz w:val="22"/>
                  <w:szCs w:val="22"/>
                </w:rPr>
                <w:t>One to one tuition | EEF (educationendowmentfoundation.org.uk)</w:t>
              </w:r>
            </w:hyperlink>
          </w:p>
          <w:p w14:paraId="56E29DE0" w14:textId="77777777" w:rsidR="00B777C7" w:rsidRPr="004D66E1" w:rsidRDefault="00B777C7" w:rsidP="00B777C7">
            <w:pPr>
              <w:suppressAutoHyphens w:val="0"/>
              <w:autoSpaceDN/>
              <w:spacing w:before="60" w:after="60" w:line="240" w:lineRule="auto"/>
              <w:ind w:left="57" w:right="57"/>
              <w:rPr>
                <w:sz w:val="22"/>
                <w:szCs w:val="22"/>
              </w:rPr>
            </w:pPr>
            <w:r w:rsidRPr="004D66E1">
              <w:rPr>
                <w:sz w:val="22"/>
                <w:szCs w:val="22"/>
              </w:rPr>
              <w:t>And in small groups:</w:t>
            </w:r>
          </w:p>
          <w:p w14:paraId="12D4D3FD" w14:textId="6D1AD57F" w:rsidR="00B777C7" w:rsidRPr="004D66E1" w:rsidRDefault="00000000" w:rsidP="00B777C7">
            <w:pPr>
              <w:suppressAutoHyphens w:val="0"/>
              <w:autoSpaceDN/>
              <w:spacing w:before="60" w:after="60" w:line="240" w:lineRule="auto"/>
              <w:ind w:left="57" w:right="57"/>
              <w:rPr>
                <w:sz w:val="22"/>
                <w:szCs w:val="22"/>
              </w:rPr>
            </w:pPr>
            <w:hyperlink r:id="rId24" w:history="1">
              <w:r w:rsidR="00B777C7" w:rsidRPr="004D66E1">
                <w:rPr>
                  <w:rStyle w:val="Hyperlink"/>
                  <w:sz w:val="22"/>
                  <w:szCs w:val="22"/>
                </w:rPr>
                <w:t>Small group tuition | Toolkit Strand | Education Endowment Foundation | EEF</w:t>
              </w:r>
            </w:hyperlink>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D55001" w14:textId="7E496B51" w:rsidR="00B777C7" w:rsidRPr="004D66E1" w:rsidRDefault="00B777C7" w:rsidP="00B777C7">
            <w:pPr>
              <w:pStyle w:val="TableRowCentered"/>
              <w:jc w:val="left"/>
              <w:rPr>
                <w:sz w:val="22"/>
                <w:szCs w:val="22"/>
              </w:rPr>
            </w:pPr>
            <w:r w:rsidRPr="00B777C7">
              <w:rPr>
                <w:sz w:val="22"/>
                <w:szCs w:val="22"/>
              </w:rPr>
              <w:t>1, 2, 3</w:t>
            </w:r>
          </w:p>
        </w:tc>
      </w:tr>
      <w:tr w:rsidR="00B777C7" w:rsidRPr="004D66E1" w14:paraId="1122E0EF" w14:textId="77777777" w:rsidTr="257587FA">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285C69" w14:textId="6F014D8B" w:rsidR="00B777C7" w:rsidRPr="004D66E1" w:rsidRDefault="00B777C7" w:rsidP="00B777C7">
            <w:pPr>
              <w:pStyle w:val="TableRow"/>
              <w:rPr>
                <w:color w:val="auto"/>
                <w:sz w:val="22"/>
                <w:szCs w:val="22"/>
              </w:rPr>
            </w:pPr>
            <w:r>
              <w:rPr>
                <w:color w:val="auto"/>
                <w:sz w:val="22"/>
                <w:szCs w:val="22"/>
              </w:rPr>
              <w:t>Trust wide Reading strategy to support all students in accessing reading</w:t>
            </w: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DEF1F7" w14:textId="77777777" w:rsidR="00B777C7" w:rsidRPr="003D2F7C" w:rsidRDefault="00B777C7" w:rsidP="00B777C7">
            <w:pPr>
              <w:suppressAutoHyphens w:val="0"/>
              <w:autoSpaceDN/>
              <w:spacing w:before="60" w:after="60" w:line="240" w:lineRule="auto"/>
              <w:ind w:left="57" w:right="57"/>
              <w:rPr>
                <w:sz w:val="22"/>
                <w:szCs w:val="22"/>
              </w:rPr>
            </w:pPr>
            <w:r w:rsidRPr="003D2F7C">
              <w:rPr>
                <w:sz w:val="22"/>
                <w:szCs w:val="22"/>
              </w:rPr>
              <w:t>Evidence suggests that there is a positive relationship between reading</w:t>
            </w:r>
          </w:p>
          <w:p w14:paraId="79F57641" w14:textId="77777777" w:rsidR="00B777C7" w:rsidRPr="003D2F7C" w:rsidRDefault="00B777C7" w:rsidP="00B777C7">
            <w:pPr>
              <w:suppressAutoHyphens w:val="0"/>
              <w:autoSpaceDN/>
              <w:spacing w:before="60" w:after="60" w:line="240" w:lineRule="auto"/>
              <w:ind w:left="57" w:right="57"/>
              <w:rPr>
                <w:sz w:val="22"/>
                <w:szCs w:val="22"/>
              </w:rPr>
            </w:pPr>
            <w:r w:rsidRPr="003D2F7C">
              <w:rPr>
                <w:sz w:val="22"/>
                <w:szCs w:val="22"/>
              </w:rPr>
              <w:t>frequency, reading enjoyment and attainment (Clark 2011; Clark and</w:t>
            </w:r>
          </w:p>
          <w:p w14:paraId="01E69E76" w14:textId="58C6A09C" w:rsidR="00B777C7" w:rsidRPr="003D2F7C" w:rsidRDefault="00B777C7" w:rsidP="00B777C7">
            <w:pPr>
              <w:suppressAutoHyphens w:val="0"/>
              <w:autoSpaceDN/>
              <w:spacing w:before="60" w:after="60" w:line="240" w:lineRule="auto"/>
              <w:ind w:left="57" w:right="57"/>
              <w:rPr>
                <w:sz w:val="22"/>
                <w:szCs w:val="22"/>
              </w:rPr>
            </w:pPr>
            <w:r w:rsidRPr="003D2F7C">
              <w:rPr>
                <w:sz w:val="22"/>
                <w:szCs w:val="22"/>
              </w:rPr>
              <w:t>Douglas 2011).</w:t>
            </w:r>
          </w:p>
          <w:p w14:paraId="680EDFEF" w14:textId="77777777" w:rsidR="00B777C7" w:rsidRPr="003D2F7C" w:rsidRDefault="00B777C7" w:rsidP="00B777C7">
            <w:pPr>
              <w:suppressAutoHyphens w:val="0"/>
              <w:autoSpaceDN/>
              <w:spacing w:before="60" w:after="60" w:line="240" w:lineRule="auto"/>
              <w:ind w:left="57" w:right="57"/>
              <w:rPr>
                <w:sz w:val="22"/>
                <w:szCs w:val="22"/>
              </w:rPr>
            </w:pPr>
            <w:r w:rsidRPr="003D2F7C">
              <w:rPr>
                <w:sz w:val="22"/>
                <w:szCs w:val="22"/>
              </w:rPr>
              <w:t>Evidence suggests that reading for pleasure is an activity that has</w:t>
            </w:r>
          </w:p>
          <w:p w14:paraId="172173BA" w14:textId="77777777" w:rsidR="00B777C7" w:rsidRDefault="00B777C7" w:rsidP="00B777C7">
            <w:pPr>
              <w:suppressAutoHyphens w:val="0"/>
              <w:autoSpaceDN/>
              <w:spacing w:before="60" w:after="60" w:line="240" w:lineRule="auto"/>
              <w:ind w:left="57" w:right="57"/>
              <w:rPr>
                <w:sz w:val="22"/>
                <w:szCs w:val="22"/>
              </w:rPr>
            </w:pPr>
            <w:r w:rsidRPr="003D2F7C">
              <w:rPr>
                <w:sz w:val="22"/>
                <w:szCs w:val="22"/>
              </w:rPr>
              <w:t>emotional and social consequences (Clark and Rumbold, 2006)</w:t>
            </w:r>
          </w:p>
          <w:p w14:paraId="6F4CD6BF" w14:textId="77777777" w:rsidR="00B777C7" w:rsidRPr="003D2F7C" w:rsidRDefault="00B777C7" w:rsidP="00B777C7">
            <w:pPr>
              <w:suppressAutoHyphens w:val="0"/>
              <w:autoSpaceDN/>
              <w:spacing w:before="60" w:after="60" w:line="240" w:lineRule="auto"/>
              <w:ind w:left="57" w:right="57"/>
              <w:rPr>
                <w:sz w:val="22"/>
                <w:szCs w:val="22"/>
              </w:rPr>
            </w:pPr>
            <w:r w:rsidRPr="003D2F7C">
              <w:rPr>
                <w:sz w:val="22"/>
                <w:szCs w:val="22"/>
              </w:rPr>
              <w:t xml:space="preserve">Other benefits to reading for pleasure </w:t>
            </w:r>
            <w:proofErr w:type="gramStart"/>
            <w:r w:rsidRPr="003D2F7C">
              <w:rPr>
                <w:sz w:val="22"/>
                <w:szCs w:val="22"/>
              </w:rPr>
              <w:t>include:</w:t>
            </w:r>
            <w:proofErr w:type="gramEnd"/>
            <w:r w:rsidRPr="003D2F7C">
              <w:rPr>
                <w:sz w:val="22"/>
                <w:szCs w:val="22"/>
              </w:rPr>
              <w:t xml:space="preserve"> text comprehension and</w:t>
            </w:r>
          </w:p>
          <w:p w14:paraId="71D75C03" w14:textId="77777777" w:rsidR="00B777C7" w:rsidRPr="003D2F7C" w:rsidRDefault="00B777C7" w:rsidP="00B777C7">
            <w:pPr>
              <w:suppressAutoHyphens w:val="0"/>
              <w:autoSpaceDN/>
              <w:spacing w:before="60" w:after="60" w:line="240" w:lineRule="auto"/>
              <w:ind w:left="57" w:right="57"/>
              <w:rPr>
                <w:sz w:val="22"/>
                <w:szCs w:val="22"/>
              </w:rPr>
            </w:pPr>
            <w:r w:rsidRPr="003D2F7C">
              <w:rPr>
                <w:sz w:val="22"/>
                <w:szCs w:val="22"/>
              </w:rPr>
              <w:t>grammar, positive reading attitudes, pleasure in reading in later life,</w:t>
            </w:r>
          </w:p>
          <w:p w14:paraId="1F422705" w14:textId="77777777" w:rsidR="00B777C7" w:rsidRDefault="00B777C7" w:rsidP="00B777C7">
            <w:pPr>
              <w:suppressAutoHyphens w:val="0"/>
              <w:autoSpaceDN/>
              <w:spacing w:before="60" w:after="60" w:line="240" w:lineRule="auto"/>
              <w:ind w:left="57" w:right="57"/>
              <w:rPr>
                <w:sz w:val="22"/>
                <w:szCs w:val="22"/>
              </w:rPr>
            </w:pPr>
            <w:r w:rsidRPr="003D2F7C">
              <w:rPr>
                <w:sz w:val="22"/>
                <w:szCs w:val="22"/>
              </w:rPr>
              <w:t>increased general knowledge (Clark and Rumbold, 2006).</w:t>
            </w:r>
          </w:p>
          <w:p w14:paraId="776DE1B0" w14:textId="4F8B6F10" w:rsidR="00B777C7" w:rsidRPr="004D66E1" w:rsidRDefault="00000000" w:rsidP="00B777C7">
            <w:pPr>
              <w:suppressAutoHyphens w:val="0"/>
              <w:autoSpaceDN/>
              <w:spacing w:before="60" w:after="60" w:line="240" w:lineRule="auto"/>
              <w:ind w:left="57" w:right="57"/>
              <w:rPr>
                <w:sz w:val="22"/>
                <w:szCs w:val="22"/>
              </w:rPr>
            </w:pPr>
            <w:hyperlink r:id="rId25" w:history="1">
              <w:r w:rsidR="00B777C7" w:rsidRPr="003D2F7C">
                <w:rPr>
                  <w:rStyle w:val="Hyperlink"/>
                  <w:sz w:val="22"/>
                  <w:szCs w:val="22"/>
                </w:rPr>
                <w:t>Research Evidence on Reading for Pleasure | Department for Education | DfE</w:t>
              </w:r>
            </w:hyperlink>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7809F5" w14:textId="5C8D49B8" w:rsidR="00B777C7" w:rsidRPr="004D66E1" w:rsidRDefault="00B777C7" w:rsidP="00B777C7">
            <w:pPr>
              <w:pStyle w:val="TableRowCentered"/>
              <w:jc w:val="left"/>
              <w:rPr>
                <w:sz w:val="22"/>
                <w:szCs w:val="22"/>
              </w:rPr>
            </w:pPr>
            <w:r w:rsidRPr="00B777C7">
              <w:rPr>
                <w:sz w:val="22"/>
                <w:szCs w:val="22"/>
              </w:rPr>
              <w:t>1, 2, 3</w:t>
            </w:r>
          </w:p>
        </w:tc>
      </w:tr>
      <w:tr w:rsidR="00B777C7" w:rsidRPr="004D66E1" w14:paraId="00223F94" w14:textId="77777777" w:rsidTr="257587FA">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4B6A6" w14:textId="3B8CB2B9" w:rsidR="00B777C7" w:rsidRDefault="00B777C7" w:rsidP="00B777C7">
            <w:pPr>
              <w:pStyle w:val="TableRow"/>
              <w:rPr>
                <w:color w:val="auto"/>
                <w:sz w:val="22"/>
                <w:szCs w:val="22"/>
              </w:rPr>
            </w:pPr>
            <w:r>
              <w:rPr>
                <w:color w:val="auto"/>
                <w:sz w:val="22"/>
                <w:szCs w:val="22"/>
              </w:rPr>
              <w:t xml:space="preserve">Trust wide </w:t>
            </w:r>
            <w:proofErr w:type="gramStart"/>
            <w:r>
              <w:rPr>
                <w:color w:val="auto"/>
                <w:sz w:val="22"/>
                <w:szCs w:val="22"/>
              </w:rPr>
              <w:t>SEND</w:t>
            </w:r>
            <w:proofErr w:type="gramEnd"/>
            <w:r>
              <w:rPr>
                <w:color w:val="auto"/>
                <w:sz w:val="22"/>
                <w:szCs w:val="22"/>
              </w:rPr>
              <w:t xml:space="preserve"> strategy – Improving leadership and procedures in delivering SEND education</w:t>
            </w:r>
          </w:p>
        </w:tc>
        <w:tc>
          <w:tcPr>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106325" w14:textId="77777777" w:rsidR="00B777C7" w:rsidRDefault="00B777C7" w:rsidP="00B777C7">
            <w:pPr>
              <w:suppressAutoHyphens w:val="0"/>
              <w:autoSpaceDN/>
              <w:spacing w:before="60" w:after="60" w:line="240" w:lineRule="auto"/>
              <w:ind w:left="57" w:right="57"/>
              <w:rPr>
                <w:sz w:val="22"/>
                <w:szCs w:val="22"/>
              </w:rPr>
            </w:pPr>
            <w:r w:rsidRPr="0002133C">
              <w:rPr>
                <w:sz w:val="22"/>
                <w:szCs w:val="22"/>
              </w:rPr>
              <w:t xml:space="preserve">Most pupils will make good progress with universal teaching approaches, and others will do so with more targeted interventions. Yet there may remain a small minority of pupils who present a </w:t>
            </w:r>
            <w:r w:rsidRPr="0002133C">
              <w:rPr>
                <w:sz w:val="22"/>
                <w:szCs w:val="22"/>
              </w:rPr>
              <w:lastRenderedPageBreak/>
              <w:t>challenging variation in barriers to learning that are not easy for the class teacher to identify and respond to alone</w:t>
            </w:r>
          </w:p>
          <w:p w14:paraId="6E13FEB4" w14:textId="77777777" w:rsidR="00B777C7" w:rsidRDefault="00B777C7" w:rsidP="00B777C7">
            <w:pPr>
              <w:suppressAutoHyphens w:val="0"/>
              <w:autoSpaceDN/>
              <w:spacing w:before="60" w:after="60" w:line="240" w:lineRule="auto"/>
              <w:ind w:left="57" w:right="57"/>
              <w:rPr>
                <w:sz w:val="22"/>
                <w:szCs w:val="22"/>
              </w:rPr>
            </w:pPr>
          </w:p>
          <w:p w14:paraId="6BCFF5D0" w14:textId="7B602D5A" w:rsidR="00B777C7" w:rsidRPr="0002133C" w:rsidRDefault="00000000" w:rsidP="00B777C7">
            <w:pPr>
              <w:suppressAutoHyphens w:val="0"/>
              <w:autoSpaceDN/>
              <w:spacing w:before="60" w:after="60" w:line="240" w:lineRule="auto"/>
              <w:ind w:left="57" w:right="57"/>
              <w:rPr>
                <w:sz w:val="22"/>
                <w:szCs w:val="22"/>
              </w:rPr>
            </w:pPr>
            <w:hyperlink r:id="rId26" w:history="1">
              <w:r w:rsidR="00B777C7" w:rsidRPr="00AC3C6F">
                <w:rPr>
                  <w:rStyle w:val="Hyperlink"/>
                  <w:sz w:val="22"/>
                  <w:szCs w:val="22"/>
                </w:rPr>
                <w:t>Special Educational Needs and Disabilities | Educational Endowment Foundation | EEF</w:t>
              </w:r>
            </w:hyperlink>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1621FA" w14:textId="33520B16" w:rsidR="00B777C7" w:rsidRPr="004D66E1" w:rsidRDefault="00B777C7" w:rsidP="00B777C7">
            <w:pPr>
              <w:pStyle w:val="TableRowCentered"/>
              <w:jc w:val="left"/>
              <w:rPr>
                <w:sz w:val="22"/>
                <w:szCs w:val="22"/>
              </w:rPr>
            </w:pPr>
            <w:r w:rsidRPr="00B777C7">
              <w:rPr>
                <w:sz w:val="22"/>
                <w:szCs w:val="22"/>
              </w:rPr>
              <w:lastRenderedPageBreak/>
              <w:t>1, 2, 3</w:t>
            </w:r>
          </w:p>
        </w:tc>
      </w:tr>
    </w:tbl>
    <w:p w14:paraId="2A7D5531" w14:textId="77777777" w:rsidR="00E66558" w:rsidRPr="004D66E1" w:rsidRDefault="00E66558">
      <w:pPr>
        <w:spacing w:after="0"/>
        <w:rPr>
          <w:b/>
          <w:color w:val="104F75"/>
          <w:sz w:val="22"/>
          <w:szCs w:val="22"/>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142D8BB" w:rsidR="00E66558" w:rsidRDefault="009D71E8" w:rsidP="257587FA">
      <w:pPr>
        <w:spacing w:before="240" w:after="120"/>
        <w:rPr>
          <w:highlight w:val="yellow"/>
        </w:rPr>
      </w:pPr>
      <w:r>
        <w:t xml:space="preserve">Budgeted cost: </w:t>
      </w:r>
      <w:r w:rsidR="225F4E55">
        <w:t xml:space="preserve">£215,031 </w:t>
      </w:r>
      <w:r w:rsidR="344DCAC7" w:rsidRPr="257587FA">
        <w:rPr>
          <w:sz w:val="20"/>
          <w:szCs w:val="20"/>
          <w:highlight w:val="yellow"/>
        </w:rPr>
        <w:t>(provisional estimate)</w:t>
      </w:r>
      <w:r w:rsidR="344DCAC7" w:rsidRPr="257587FA">
        <w:rPr>
          <w:sz w:val="20"/>
          <w:szCs w:val="20"/>
        </w:rP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442CF3" w14:paraId="60FE2F1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BC4A6" w14:textId="373BF338" w:rsidR="00442CF3" w:rsidRPr="004D66E1" w:rsidRDefault="00442CF3" w:rsidP="00441289">
            <w:pPr>
              <w:pStyle w:val="TableRow"/>
              <w:ind w:left="0"/>
              <w:rPr>
                <w:sz w:val="22"/>
                <w:szCs w:val="22"/>
              </w:rPr>
            </w:pPr>
            <w:r>
              <w:rPr>
                <w:sz w:val="22"/>
                <w:szCs w:val="22"/>
              </w:rPr>
              <w:t xml:space="preserve">Appointment of Year Group Co-Ordinators to deliver behaviour interventions and pastoral 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C3A1B" w14:textId="77777777" w:rsidR="00EE7B30" w:rsidRDefault="00D15BA0" w:rsidP="00441289">
            <w:pPr>
              <w:pStyle w:val="TableRowCentered"/>
              <w:jc w:val="left"/>
              <w:rPr>
                <w:sz w:val="22"/>
                <w:szCs w:val="22"/>
              </w:rPr>
            </w:pPr>
            <w:r w:rsidRPr="00D15BA0">
              <w:rPr>
                <w:sz w:val="22"/>
                <w:szCs w:val="22"/>
              </w:rPr>
              <w:t>A pupil cannot benefit from a lesson if they are not present, engaged in the lesson, and behaving appropriately for learning.</w:t>
            </w:r>
            <w:r>
              <w:rPr>
                <w:sz w:val="22"/>
                <w:szCs w:val="22"/>
              </w:rPr>
              <w:t xml:space="preserve"> </w:t>
            </w:r>
          </w:p>
          <w:p w14:paraId="79070432" w14:textId="77777777" w:rsidR="00EE7B30" w:rsidRDefault="00EE7B30" w:rsidP="00441289">
            <w:pPr>
              <w:pStyle w:val="TableRowCentered"/>
              <w:jc w:val="left"/>
              <w:rPr>
                <w:sz w:val="22"/>
                <w:szCs w:val="22"/>
              </w:rPr>
            </w:pPr>
          </w:p>
          <w:p w14:paraId="11B2EC5C" w14:textId="67BDD7A7" w:rsidR="00442CF3" w:rsidRDefault="00D15BA0" w:rsidP="00441289">
            <w:pPr>
              <w:pStyle w:val="TableRowCentered"/>
              <w:jc w:val="left"/>
              <w:rPr>
                <w:sz w:val="22"/>
                <w:szCs w:val="22"/>
              </w:rPr>
            </w:pPr>
            <w:r>
              <w:rPr>
                <w:sz w:val="22"/>
                <w:szCs w:val="22"/>
              </w:rPr>
              <w:t>R</w:t>
            </w:r>
            <w:r w:rsidRPr="00D15BA0">
              <w:rPr>
                <w:sz w:val="22"/>
                <w:szCs w:val="22"/>
              </w:rPr>
              <w:t>elationships with pupils, with families, with school colleagues and wider professionals. As relationships and communication strengthen, our holistic understanding of pupil needs and strategies to overcome learning difficulties can be deliberately shared and integrated into every aspect of school life.</w:t>
            </w:r>
          </w:p>
          <w:p w14:paraId="7363A76E" w14:textId="77777777" w:rsidR="00D15BA0" w:rsidRDefault="00D15BA0" w:rsidP="00441289">
            <w:pPr>
              <w:pStyle w:val="TableRowCentered"/>
              <w:jc w:val="left"/>
              <w:rPr>
                <w:sz w:val="22"/>
                <w:szCs w:val="22"/>
              </w:rPr>
            </w:pPr>
          </w:p>
          <w:p w14:paraId="41D3E1B5" w14:textId="0482F0B3" w:rsidR="00D15BA0" w:rsidRPr="004D66E1" w:rsidRDefault="00000000" w:rsidP="00441289">
            <w:pPr>
              <w:pStyle w:val="TableRowCentered"/>
              <w:jc w:val="left"/>
              <w:rPr>
                <w:sz w:val="22"/>
                <w:szCs w:val="22"/>
              </w:rPr>
            </w:pPr>
            <w:hyperlink r:id="rId27" w:history="1">
              <w:r w:rsidR="00D15BA0" w:rsidRPr="00D15BA0">
                <w:rPr>
                  <w:rStyle w:val="Hyperlink"/>
                  <w:sz w:val="22"/>
                  <w:szCs w:val="22"/>
                </w:rPr>
                <w:t>Three Keys to Unlocking Positive Learning Behaviours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6A894" w14:textId="027FCC9C" w:rsidR="00442CF3" w:rsidRPr="004D66E1" w:rsidRDefault="009D7271" w:rsidP="00441289">
            <w:pPr>
              <w:pStyle w:val="TableRowCentered"/>
              <w:jc w:val="left"/>
              <w:rPr>
                <w:sz w:val="22"/>
                <w:szCs w:val="22"/>
              </w:rPr>
            </w:pPr>
            <w:r w:rsidRPr="004D66E1">
              <w:rPr>
                <w:sz w:val="22"/>
                <w:szCs w:val="22"/>
              </w:rPr>
              <w:t>4, 5, 6, 7, 8</w:t>
            </w:r>
          </w:p>
        </w:tc>
      </w:tr>
      <w:tr w:rsidR="00441289"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B1EC1" w14:textId="77777777" w:rsidR="00441289" w:rsidRPr="004D66E1" w:rsidRDefault="00441289" w:rsidP="00441289">
            <w:pPr>
              <w:pStyle w:val="TableRow"/>
              <w:ind w:left="0"/>
              <w:rPr>
                <w:sz w:val="22"/>
                <w:szCs w:val="22"/>
              </w:rPr>
            </w:pPr>
            <w:r w:rsidRPr="004D66E1">
              <w:rPr>
                <w:sz w:val="22"/>
                <w:szCs w:val="22"/>
              </w:rPr>
              <w:t>Warwickshire Attendance, Compliance and Education Services</w:t>
            </w:r>
          </w:p>
          <w:p w14:paraId="16ACA26C" w14:textId="77777777" w:rsidR="0037731D" w:rsidRPr="004D66E1" w:rsidRDefault="0037731D" w:rsidP="00441289">
            <w:pPr>
              <w:pStyle w:val="TableRow"/>
              <w:ind w:left="0"/>
              <w:rPr>
                <w:sz w:val="22"/>
                <w:szCs w:val="22"/>
              </w:rPr>
            </w:pPr>
          </w:p>
          <w:p w14:paraId="2A7D5538" w14:textId="65D86E59" w:rsidR="0037731D" w:rsidRPr="004D66E1" w:rsidRDefault="0037731D" w:rsidP="00441289">
            <w:pPr>
              <w:pStyle w:val="TableRow"/>
              <w:ind w:left="0"/>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3DDC3" w14:textId="205DA016" w:rsidR="00D05BF0" w:rsidRPr="004D66E1" w:rsidRDefault="00D05BF0" w:rsidP="00441289">
            <w:pPr>
              <w:pStyle w:val="TableRowCentered"/>
              <w:jc w:val="left"/>
              <w:rPr>
                <w:sz w:val="22"/>
                <w:szCs w:val="22"/>
              </w:rPr>
            </w:pPr>
            <w:r w:rsidRPr="004D66E1">
              <w:rPr>
                <w:sz w:val="22"/>
                <w:szCs w:val="22"/>
              </w:rPr>
              <w:t xml:space="preserve">Evidence suggests that improvements in attendance can lead to meaningful impacts in academic achievements, social </w:t>
            </w:r>
            <w:proofErr w:type="gramStart"/>
            <w:r w:rsidRPr="004D66E1">
              <w:rPr>
                <w:sz w:val="22"/>
                <w:szCs w:val="22"/>
              </w:rPr>
              <w:t>characteristics</w:t>
            </w:r>
            <w:proofErr w:type="gramEnd"/>
            <w:r w:rsidRPr="004D66E1">
              <w:rPr>
                <w:sz w:val="22"/>
                <w:szCs w:val="22"/>
              </w:rPr>
              <w:t xml:space="preserve"> and behavioural outcomes. </w:t>
            </w:r>
          </w:p>
          <w:p w14:paraId="296F049C" w14:textId="77777777" w:rsidR="00D05BF0" w:rsidRPr="004D66E1" w:rsidRDefault="00D05BF0" w:rsidP="00441289">
            <w:pPr>
              <w:pStyle w:val="TableRowCentered"/>
              <w:jc w:val="left"/>
              <w:rPr>
                <w:sz w:val="22"/>
                <w:szCs w:val="22"/>
              </w:rPr>
            </w:pPr>
          </w:p>
          <w:p w14:paraId="2A7D5539" w14:textId="12169BE4" w:rsidR="00441289" w:rsidRPr="004D66E1" w:rsidRDefault="00000000" w:rsidP="00441289">
            <w:pPr>
              <w:pStyle w:val="TableRowCentered"/>
              <w:jc w:val="left"/>
              <w:rPr>
                <w:sz w:val="22"/>
                <w:szCs w:val="22"/>
              </w:rPr>
            </w:pPr>
            <w:hyperlink r:id="rId28" w:history="1">
              <w:r w:rsidR="00D05BF0" w:rsidRPr="004D66E1">
                <w:rPr>
                  <w:rStyle w:val="Hyperlink"/>
                  <w:sz w:val="22"/>
                  <w:szCs w:val="22"/>
                </w:rPr>
                <w:t>Attendance Interventions | Evidence Reviews | Education Endowment Foundation | EEF</w:t>
              </w:r>
            </w:hyperlink>
            <w:r w:rsidR="00D05BF0" w:rsidRPr="004D66E1">
              <w:rPr>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31C62A1" w:rsidR="00441289" w:rsidRPr="004D66E1" w:rsidRDefault="00441289" w:rsidP="00441289">
            <w:pPr>
              <w:pStyle w:val="TableRowCentered"/>
              <w:jc w:val="left"/>
              <w:rPr>
                <w:sz w:val="22"/>
                <w:szCs w:val="22"/>
              </w:rPr>
            </w:pPr>
            <w:r w:rsidRPr="004D66E1">
              <w:rPr>
                <w:sz w:val="22"/>
                <w:szCs w:val="22"/>
              </w:rPr>
              <w:t>5, 6, 7, 8</w:t>
            </w:r>
          </w:p>
        </w:tc>
      </w:tr>
      <w:tr w:rsidR="00441289"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BC4F325" w:rsidR="00497FD6" w:rsidRPr="004D66E1" w:rsidRDefault="00441289" w:rsidP="004D66E1">
            <w:pPr>
              <w:pStyle w:val="TableRow"/>
              <w:rPr>
                <w:iCs/>
                <w:sz w:val="22"/>
                <w:szCs w:val="22"/>
              </w:rPr>
            </w:pPr>
            <w:r w:rsidRPr="004D66E1">
              <w:rPr>
                <w:iCs/>
                <w:sz w:val="22"/>
                <w:szCs w:val="22"/>
              </w:rPr>
              <w:t xml:space="preserve">External Mentoring Services </w:t>
            </w:r>
            <w:r w:rsidR="004D66E1">
              <w:rPr>
                <w:iCs/>
                <w:sz w:val="22"/>
                <w:szCs w:val="22"/>
              </w:rPr>
              <w:t xml:space="preserve">to support </w:t>
            </w:r>
            <w:proofErr w:type="gramStart"/>
            <w:r w:rsidR="004D66E1">
              <w:rPr>
                <w:iCs/>
                <w:sz w:val="22"/>
                <w:szCs w:val="22"/>
              </w:rPr>
              <w:t>students</w:t>
            </w:r>
            <w:proofErr w:type="gramEnd"/>
            <w:r w:rsidR="004D66E1">
              <w:rPr>
                <w:iCs/>
                <w:sz w:val="22"/>
                <w:szCs w:val="22"/>
              </w:rPr>
              <w:t xml:space="preserve"> self-efficacy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96CAE" w14:textId="77777777" w:rsidR="00441289" w:rsidRPr="004D66E1" w:rsidRDefault="0012419B" w:rsidP="00441289">
            <w:pPr>
              <w:pStyle w:val="TableRowCentered"/>
              <w:jc w:val="left"/>
              <w:rPr>
                <w:sz w:val="22"/>
                <w:szCs w:val="22"/>
              </w:rPr>
            </w:pPr>
            <w:r w:rsidRPr="004D66E1">
              <w:rPr>
                <w:sz w:val="22"/>
                <w:szCs w:val="22"/>
              </w:rPr>
              <w:t>Social and Emotional Learning can have a positive impact on academic progress and enable students to effectively manage their emotions and attitude towards school when delivered as targeted interventions</w:t>
            </w:r>
          </w:p>
          <w:p w14:paraId="74651D70" w14:textId="77777777" w:rsidR="0012419B" w:rsidRPr="004D66E1" w:rsidRDefault="0012419B" w:rsidP="00441289">
            <w:pPr>
              <w:pStyle w:val="TableRowCentered"/>
              <w:jc w:val="left"/>
              <w:rPr>
                <w:sz w:val="22"/>
                <w:szCs w:val="22"/>
              </w:rPr>
            </w:pPr>
          </w:p>
          <w:p w14:paraId="2A7D553D" w14:textId="1BCBE11F" w:rsidR="0012419B" w:rsidRPr="004D66E1" w:rsidRDefault="00000000" w:rsidP="00441289">
            <w:pPr>
              <w:pStyle w:val="TableRowCentered"/>
              <w:jc w:val="left"/>
              <w:rPr>
                <w:sz w:val="22"/>
                <w:szCs w:val="22"/>
              </w:rPr>
            </w:pPr>
            <w:hyperlink r:id="rId29" w:history="1">
              <w:r w:rsidR="0012419B" w:rsidRPr="004D66E1">
                <w:rPr>
                  <w:rStyle w:val="Hyperlink"/>
                  <w:sz w:val="22"/>
                  <w:szCs w:val="22"/>
                </w:rPr>
                <w:t>Social and Emotional Learning | Toolkit Strand | Education Endowment Foundation | EEF</w:t>
              </w:r>
            </w:hyperlink>
            <w:r w:rsidR="0012419B" w:rsidRPr="004D66E1">
              <w:rPr>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5CA07D3" w:rsidR="00441289" w:rsidRPr="004D66E1" w:rsidRDefault="00441289" w:rsidP="00441289">
            <w:pPr>
              <w:pStyle w:val="TableRowCentered"/>
              <w:jc w:val="left"/>
              <w:rPr>
                <w:sz w:val="22"/>
                <w:szCs w:val="22"/>
              </w:rPr>
            </w:pPr>
            <w:r w:rsidRPr="004D66E1">
              <w:rPr>
                <w:sz w:val="22"/>
                <w:szCs w:val="22"/>
              </w:rPr>
              <w:lastRenderedPageBreak/>
              <w:t>4, 5, 6, 7, 8</w:t>
            </w:r>
          </w:p>
        </w:tc>
      </w:tr>
      <w:tr w:rsidR="00562927" w14:paraId="35F2714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0351B" w14:textId="7FAF6ACE" w:rsidR="00562927" w:rsidRPr="004D66E1" w:rsidRDefault="00562927" w:rsidP="00562927">
            <w:pPr>
              <w:pStyle w:val="TableRow"/>
              <w:rPr>
                <w:iCs/>
                <w:sz w:val="22"/>
                <w:szCs w:val="22"/>
              </w:rPr>
            </w:pPr>
            <w:r w:rsidRPr="004D66E1">
              <w:rPr>
                <w:iCs/>
                <w:sz w:val="22"/>
                <w:szCs w:val="22"/>
              </w:rPr>
              <w:t xml:space="preserve">Residential Trips and Visits to extend students learning outside of the </w:t>
            </w:r>
            <w:proofErr w:type="gramStart"/>
            <w:r w:rsidRPr="004D66E1">
              <w:rPr>
                <w:iCs/>
                <w:sz w:val="22"/>
                <w:szCs w:val="22"/>
              </w:rPr>
              <w:t>Classroom</w:t>
            </w:r>
            <w:proofErr w:type="gramEnd"/>
            <w:r w:rsidRPr="004D66E1">
              <w:rPr>
                <w:iCs/>
                <w:sz w:val="22"/>
                <w:szCs w:val="22"/>
              </w:rPr>
              <w:t>.</w:t>
            </w:r>
          </w:p>
          <w:p w14:paraId="7D813584" w14:textId="75E1B4F9" w:rsidR="00562927" w:rsidRPr="004D66E1" w:rsidRDefault="00562927" w:rsidP="004D66E1">
            <w:pPr>
              <w:pStyle w:val="TableRow"/>
              <w:ind w:left="0"/>
              <w:rPr>
                <w:iCs/>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E6246" w14:textId="6E3C761E" w:rsidR="00562927" w:rsidRPr="004D66E1" w:rsidRDefault="000F6A2C" w:rsidP="003C5975">
            <w:pPr>
              <w:pStyle w:val="TableRowCentered"/>
              <w:numPr>
                <w:ilvl w:val="0"/>
                <w:numId w:val="1"/>
              </w:numPr>
              <w:jc w:val="left"/>
              <w:rPr>
                <w:sz w:val="22"/>
                <w:szCs w:val="22"/>
              </w:rPr>
            </w:pPr>
            <w:r w:rsidRPr="004D66E1">
              <w:rPr>
                <w:sz w:val="22"/>
                <w:szCs w:val="22"/>
              </w:rPr>
              <w:t>O</w:t>
            </w:r>
            <w:r w:rsidR="00562927" w:rsidRPr="004D66E1">
              <w:rPr>
                <w:sz w:val="22"/>
                <w:szCs w:val="22"/>
              </w:rPr>
              <w:t xml:space="preserve">utdoor adventure learning may have positive impacts on other outcomes such as self-efficacy, </w:t>
            </w:r>
            <w:proofErr w:type="gramStart"/>
            <w:r w:rsidR="00562927" w:rsidRPr="004D66E1">
              <w:rPr>
                <w:sz w:val="22"/>
                <w:szCs w:val="22"/>
              </w:rPr>
              <w:t>motivation</w:t>
            </w:r>
            <w:proofErr w:type="gramEnd"/>
            <w:r w:rsidR="00562927" w:rsidRPr="004D66E1">
              <w:rPr>
                <w:sz w:val="22"/>
                <w:szCs w:val="22"/>
              </w:rPr>
              <w:t xml:space="preserve"> and teamwork. Outdoor adventure learning may play an important part of the wider school experience</w:t>
            </w:r>
            <w:r w:rsidRPr="004D66E1">
              <w:rPr>
                <w:sz w:val="22"/>
                <w:szCs w:val="22"/>
              </w:rPr>
              <w:t>.</w:t>
            </w:r>
            <w:r w:rsidR="00562927" w:rsidRPr="004D66E1">
              <w:rPr>
                <w:sz w:val="22"/>
                <w:szCs w:val="22"/>
              </w:rPr>
              <w:t xml:space="preserve"> Arts participation approaches can have a positive impact on academic outcomes in other areas of the curriculum.</w:t>
            </w:r>
          </w:p>
          <w:p w14:paraId="31C98A35" w14:textId="46786916" w:rsidR="00562927" w:rsidRPr="004D66E1" w:rsidRDefault="00562927" w:rsidP="000F6A2C">
            <w:pPr>
              <w:pStyle w:val="TableRowCentered"/>
              <w:jc w:val="left"/>
              <w:rPr>
                <w:sz w:val="22"/>
                <w:szCs w:val="22"/>
              </w:rPr>
            </w:pPr>
          </w:p>
          <w:p w14:paraId="60EEF466" w14:textId="63092D46" w:rsidR="00562927" w:rsidRPr="004D66E1" w:rsidRDefault="00000000" w:rsidP="00562927">
            <w:pPr>
              <w:pStyle w:val="TableRowCentered"/>
              <w:jc w:val="left"/>
              <w:rPr>
                <w:sz w:val="22"/>
                <w:szCs w:val="22"/>
              </w:rPr>
            </w:pPr>
            <w:hyperlink r:id="rId30" w:history="1">
              <w:r w:rsidR="000F6A2C" w:rsidRPr="004D66E1">
                <w:rPr>
                  <w:rStyle w:val="Hyperlink"/>
                  <w:sz w:val="22"/>
                  <w:szCs w:val="22"/>
                </w:rPr>
                <w:t>Outdoor Adventure Learning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2D92D" w14:textId="6B5C8B0B" w:rsidR="00562927" w:rsidRPr="004D66E1" w:rsidRDefault="00562927" w:rsidP="00562927">
            <w:pPr>
              <w:pStyle w:val="TableRowCentered"/>
              <w:jc w:val="left"/>
              <w:rPr>
                <w:sz w:val="22"/>
                <w:szCs w:val="22"/>
              </w:rPr>
            </w:pPr>
            <w:r w:rsidRPr="004D66E1">
              <w:rPr>
                <w:sz w:val="22"/>
                <w:szCs w:val="22"/>
              </w:rPr>
              <w:t>4, 5, 6, 7, 8</w:t>
            </w:r>
          </w:p>
        </w:tc>
      </w:tr>
      <w:tr w:rsidR="00FF53A0" w14:paraId="2B7ED3F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34B27" w14:textId="09783220" w:rsidR="00FF53A0" w:rsidRPr="004D66E1" w:rsidRDefault="00FF53A0" w:rsidP="00C94233">
            <w:pPr>
              <w:pStyle w:val="TableRow"/>
              <w:rPr>
                <w:color w:val="auto"/>
                <w:sz w:val="22"/>
                <w:szCs w:val="22"/>
              </w:rPr>
            </w:pPr>
            <w:r>
              <w:rPr>
                <w:color w:val="auto"/>
                <w:sz w:val="22"/>
                <w:szCs w:val="22"/>
              </w:rPr>
              <w:t xml:space="preserve">Provide students with a free breakfast </w:t>
            </w:r>
            <w:r w:rsidR="0018124E">
              <w:rPr>
                <w:color w:val="auto"/>
                <w:sz w:val="22"/>
                <w:szCs w:val="22"/>
              </w:rPr>
              <w:t>each morning.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C2FE3" w14:textId="6040C495" w:rsidR="00FF53A0" w:rsidRDefault="00A84861" w:rsidP="00FF53A0">
            <w:pPr>
              <w:pStyle w:val="TableRowCentered"/>
              <w:jc w:val="left"/>
              <w:rPr>
                <w:rFonts w:cs="Arial"/>
                <w:color w:val="auto"/>
                <w:sz w:val="22"/>
                <w:szCs w:val="22"/>
              </w:rPr>
            </w:pPr>
            <w:r>
              <w:rPr>
                <w:rFonts w:cs="Arial"/>
                <w:color w:val="auto"/>
                <w:sz w:val="22"/>
                <w:szCs w:val="22"/>
              </w:rPr>
              <w:t>EEF independent research found that a free, universal, before-school breakfast club delivered an average of +2 months’ additional progress for pupils in reading, writing and maths.</w:t>
            </w:r>
          </w:p>
          <w:p w14:paraId="28A707F0" w14:textId="40D55A7A" w:rsidR="00FF53A0" w:rsidRPr="00FF53A0" w:rsidRDefault="00000000" w:rsidP="00FF53A0">
            <w:pPr>
              <w:pStyle w:val="TableRowCentered"/>
              <w:jc w:val="left"/>
              <w:rPr>
                <w:rFonts w:cs="Arial"/>
                <w:color w:val="auto"/>
                <w:sz w:val="22"/>
                <w:szCs w:val="22"/>
              </w:rPr>
            </w:pPr>
            <w:hyperlink r:id="rId31" w:history="1">
              <w:r w:rsidR="00FF53A0" w:rsidRPr="00FF53A0">
                <w:rPr>
                  <w:rStyle w:val="Hyperlink"/>
                  <w:rFonts w:cs="Arial"/>
                  <w:sz w:val="22"/>
                  <w:szCs w:val="22"/>
                </w:rPr>
                <w:t>Breakfast Case Study – Evidence for Impact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843D4" w14:textId="0BCB6982" w:rsidR="00FF53A0" w:rsidRPr="004D66E1" w:rsidRDefault="0018124E" w:rsidP="00C94233">
            <w:pPr>
              <w:pStyle w:val="TableRowCentered"/>
              <w:jc w:val="left"/>
              <w:rPr>
                <w:color w:val="auto"/>
                <w:sz w:val="22"/>
                <w:szCs w:val="22"/>
              </w:rPr>
            </w:pPr>
            <w:r>
              <w:rPr>
                <w:color w:val="auto"/>
                <w:sz w:val="22"/>
                <w:szCs w:val="22"/>
              </w:rPr>
              <w:t>1, 2, 3, 5, 6, 7</w:t>
            </w:r>
          </w:p>
        </w:tc>
      </w:tr>
      <w:tr w:rsidR="00EF6218" w14:paraId="45433F3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69571" w14:textId="1B768C31" w:rsidR="00EF6218" w:rsidRPr="004D66E1" w:rsidRDefault="00EF6218" w:rsidP="00EF6218">
            <w:pPr>
              <w:pStyle w:val="TableRow"/>
              <w:rPr>
                <w:color w:val="auto"/>
                <w:sz w:val="22"/>
                <w:szCs w:val="22"/>
              </w:rPr>
            </w:pPr>
            <w:r>
              <w:rPr>
                <w:color w:val="auto"/>
                <w:sz w:val="22"/>
                <w:szCs w:val="22"/>
              </w:rPr>
              <w:t xml:space="preserve">Subsidise uniform and school travel for parents to support school attendance and learning.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5088E" w14:textId="5F67C766" w:rsidR="00442CF3" w:rsidRDefault="00442CF3" w:rsidP="00EF6218">
            <w:pPr>
              <w:pStyle w:val="TableRowCentered"/>
              <w:jc w:val="left"/>
              <w:rPr>
                <w:sz w:val="22"/>
                <w:szCs w:val="18"/>
              </w:rPr>
            </w:pPr>
            <w:r>
              <w:rPr>
                <w:sz w:val="22"/>
                <w:szCs w:val="18"/>
              </w:rPr>
              <w:t>School uniform supports the development of a whole school ethos and therefore supports discipline and motivation. School uniform also promotes social equity.</w:t>
            </w:r>
          </w:p>
          <w:p w14:paraId="2B597191" w14:textId="21669587" w:rsidR="007A45AA" w:rsidRDefault="007A45AA" w:rsidP="00EF6218">
            <w:pPr>
              <w:pStyle w:val="TableRowCentered"/>
              <w:jc w:val="left"/>
              <w:rPr>
                <w:sz w:val="22"/>
                <w:szCs w:val="18"/>
              </w:rPr>
            </w:pPr>
          </w:p>
          <w:p w14:paraId="77832B50" w14:textId="11FDFB4F" w:rsidR="007A45AA" w:rsidRDefault="00000000" w:rsidP="00EF6218">
            <w:pPr>
              <w:pStyle w:val="TableRowCentered"/>
              <w:jc w:val="left"/>
              <w:rPr>
                <w:sz w:val="22"/>
                <w:szCs w:val="18"/>
              </w:rPr>
            </w:pPr>
            <w:hyperlink r:id="rId32" w:history="1">
              <w:r w:rsidR="007A45AA" w:rsidRPr="007A45AA">
                <w:rPr>
                  <w:rStyle w:val="Hyperlink"/>
                  <w:sz w:val="22"/>
                  <w:szCs w:val="18"/>
                </w:rPr>
                <w:t>School Uniform | Education Endowment Foundation | EEF</w:t>
              </w:r>
            </w:hyperlink>
          </w:p>
          <w:p w14:paraId="48EBE0F0" w14:textId="77777777" w:rsidR="00442CF3" w:rsidRDefault="00442CF3" w:rsidP="00EF6218">
            <w:pPr>
              <w:pStyle w:val="TableRowCentered"/>
              <w:jc w:val="left"/>
              <w:rPr>
                <w:sz w:val="22"/>
                <w:szCs w:val="18"/>
              </w:rPr>
            </w:pPr>
          </w:p>
          <w:p w14:paraId="18755319" w14:textId="6D253EEC" w:rsidR="00EF6218" w:rsidRDefault="00EF6218" w:rsidP="00EF6218">
            <w:pPr>
              <w:pStyle w:val="TableRowCentered"/>
              <w:jc w:val="left"/>
              <w:rPr>
                <w:sz w:val="22"/>
                <w:szCs w:val="18"/>
              </w:rPr>
            </w:pPr>
            <w:r w:rsidRPr="00EF6218">
              <w:rPr>
                <w:sz w:val="22"/>
                <w:szCs w:val="18"/>
              </w:rPr>
              <w:t>BCC (website) also states that schools should also offer arrangements so that no family feels unable to apply for a place because of the cost of uniform</w:t>
            </w:r>
          </w:p>
          <w:p w14:paraId="204D360C" w14:textId="77777777" w:rsidR="00EF6218" w:rsidRDefault="00EF6218" w:rsidP="00EF6218">
            <w:pPr>
              <w:pStyle w:val="TableRowCentered"/>
              <w:jc w:val="left"/>
              <w:rPr>
                <w:sz w:val="22"/>
                <w:szCs w:val="18"/>
              </w:rPr>
            </w:pPr>
          </w:p>
          <w:p w14:paraId="27BFB6F1" w14:textId="08D2ADF4" w:rsidR="00EF6218" w:rsidRPr="00EF6218" w:rsidRDefault="00000000" w:rsidP="00EF6218">
            <w:pPr>
              <w:pStyle w:val="TableRowCentered"/>
              <w:jc w:val="left"/>
              <w:rPr>
                <w:color w:val="auto"/>
                <w:sz w:val="22"/>
                <w:szCs w:val="22"/>
              </w:rPr>
            </w:pPr>
            <w:hyperlink r:id="rId33" w:history="1">
              <w:r w:rsidR="00EF6218" w:rsidRPr="00EF6218">
                <w:rPr>
                  <w:rStyle w:val="Hyperlink"/>
                  <w:sz w:val="22"/>
                  <w:szCs w:val="18"/>
                </w:rPr>
                <w:t>School Uniforms | Schools and Learning | Birmingham City Council</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9F972" w14:textId="439746B2" w:rsidR="00EF6218" w:rsidRPr="004D66E1" w:rsidRDefault="00B777C7" w:rsidP="00C94233">
            <w:pPr>
              <w:pStyle w:val="TableRowCentered"/>
              <w:jc w:val="left"/>
              <w:rPr>
                <w:color w:val="auto"/>
                <w:sz w:val="22"/>
                <w:szCs w:val="22"/>
              </w:rPr>
            </w:pPr>
            <w:r>
              <w:rPr>
                <w:color w:val="auto"/>
                <w:sz w:val="22"/>
                <w:szCs w:val="22"/>
              </w:rPr>
              <w:t>5, 6, 7, 8</w:t>
            </w:r>
          </w:p>
        </w:tc>
      </w:tr>
      <w:tr w:rsidR="006757F9" w14:paraId="3A87617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D5B74" w14:textId="574D369E" w:rsidR="006757F9" w:rsidRPr="004D66E1" w:rsidRDefault="006757F9" w:rsidP="00C94233">
            <w:pPr>
              <w:pStyle w:val="TableRow"/>
              <w:rPr>
                <w:color w:val="auto"/>
                <w:sz w:val="22"/>
                <w:szCs w:val="22"/>
              </w:rPr>
            </w:pPr>
            <w:r>
              <w:rPr>
                <w:color w:val="auto"/>
                <w:sz w:val="22"/>
                <w:szCs w:val="22"/>
              </w:rPr>
              <w:t xml:space="preserve">Provide students with a wide range of school based and trust wide extra-curricular activities.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717D0" w14:textId="1B57A5C0" w:rsidR="006757F9" w:rsidRPr="00C246E2" w:rsidRDefault="00473ABA" w:rsidP="00C246E2">
            <w:pPr>
              <w:pStyle w:val="TableRowCentered"/>
              <w:jc w:val="left"/>
              <w:rPr>
                <w:color w:val="auto"/>
                <w:sz w:val="22"/>
                <w:szCs w:val="22"/>
              </w:rPr>
            </w:pPr>
            <w:r w:rsidRPr="00C246E2">
              <w:rPr>
                <w:sz w:val="22"/>
                <w:szCs w:val="22"/>
              </w:rPr>
              <w:t>Research suggests that there are enabling character traits which can improve educational attainment, engagement with school and attendance</w:t>
            </w:r>
          </w:p>
          <w:p w14:paraId="7111BAFE" w14:textId="05754C82" w:rsidR="00473ABA" w:rsidRPr="00C246E2" w:rsidRDefault="00000000" w:rsidP="00C94233">
            <w:pPr>
              <w:pStyle w:val="TableRowCentered"/>
              <w:numPr>
                <w:ilvl w:val="0"/>
                <w:numId w:val="1"/>
              </w:numPr>
              <w:jc w:val="left"/>
              <w:rPr>
                <w:color w:val="auto"/>
                <w:sz w:val="22"/>
                <w:szCs w:val="22"/>
              </w:rPr>
            </w:pPr>
            <w:hyperlink r:id="rId34" w:history="1">
              <w:r w:rsidR="00473ABA" w:rsidRPr="00C246E2">
                <w:rPr>
                  <w:rStyle w:val="Hyperlink"/>
                  <w:sz w:val="22"/>
                  <w:szCs w:val="22"/>
                </w:rPr>
                <w:t>Character Education | Department for Education | DfE</w:t>
              </w:r>
            </w:hyperlink>
          </w:p>
          <w:p w14:paraId="0004C5B0" w14:textId="77777777" w:rsidR="00473ABA" w:rsidRPr="00C246E2" w:rsidRDefault="00473ABA" w:rsidP="00C94233">
            <w:pPr>
              <w:pStyle w:val="TableRowCentered"/>
              <w:numPr>
                <w:ilvl w:val="0"/>
                <w:numId w:val="1"/>
              </w:numPr>
              <w:jc w:val="left"/>
              <w:rPr>
                <w:color w:val="auto"/>
                <w:sz w:val="22"/>
                <w:szCs w:val="22"/>
              </w:rPr>
            </w:pPr>
          </w:p>
          <w:p w14:paraId="154D983A" w14:textId="06D8D0E3" w:rsidR="00473ABA" w:rsidRPr="00C246E2" w:rsidRDefault="00473ABA" w:rsidP="00473ABA">
            <w:pPr>
              <w:pStyle w:val="TableRowCentered"/>
              <w:jc w:val="left"/>
              <w:rPr>
                <w:color w:val="auto"/>
                <w:sz w:val="22"/>
                <w:szCs w:val="22"/>
              </w:rPr>
            </w:pPr>
            <w:r w:rsidRPr="00C246E2">
              <w:rPr>
                <w:sz w:val="22"/>
                <w:szCs w:val="22"/>
              </w:rPr>
              <w:t>schools which develop character well help drive equity and social mobility for their pupils5.</w:t>
            </w:r>
          </w:p>
          <w:p w14:paraId="65504050" w14:textId="77777777" w:rsidR="00473ABA" w:rsidRPr="00C246E2" w:rsidRDefault="00473ABA" w:rsidP="00473ABA">
            <w:pPr>
              <w:pStyle w:val="TableRowCentered"/>
              <w:jc w:val="left"/>
              <w:rPr>
                <w:sz w:val="22"/>
                <w:szCs w:val="22"/>
              </w:rPr>
            </w:pPr>
            <w:r w:rsidRPr="00C246E2">
              <w:rPr>
                <w:sz w:val="22"/>
                <w:szCs w:val="22"/>
              </w:rPr>
              <w:lastRenderedPageBreak/>
              <w:t>Access to character development opportunities in schools can lead pupils that take part to be highly motivated6, report fewer absences7 and have lower levels of emotional distress8, amongst other outcomes.</w:t>
            </w:r>
          </w:p>
          <w:p w14:paraId="5EFEE3D5" w14:textId="77777777" w:rsidR="00473ABA" w:rsidRDefault="00000000" w:rsidP="001747EF">
            <w:pPr>
              <w:pStyle w:val="TableRowCentered"/>
              <w:jc w:val="left"/>
            </w:pPr>
            <w:hyperlink r:id="rId35" w:history="1">
              <w:r w:rsidR="001747EF" w:rsidRPr="00C246E2">
                <w:rPr>
                  <w:rStyle w:val="Hyperlink"/>
                  <w:sz w:val="22"/>
                  <w:szCs w:val="22"/>
                </w:rPr>
                <w:t>The impact of non-cognitive skills on outcomes for young people | Education Endowment Foundation | EEF</w:t>
              </w:r>
            </w:hyperlink>
          </w:p>
          <w:p w14:paraId="450DEB50" w14:textId="77777777" w:rsidR="003C6F7F" w:rsidRDefault="003C6F7F" w:rsidP="001747EF">
            <w:pPr>
              <w:pStyle w:val="TableRowCentered"/>
              <w:jc w:val="left"/>
            </w:pPr>
          </w:p>
          <w:p w14:paraId="32DAFAB0" w14:textId="77777777" w:rsidR="003C6F7F" w:rsidRPr="003C6F7F" w:rsidRDefault="003C6F7F" w:rsidP="001747EF">
            <w:pPr>
              <w:pStyle w:val="TableRowCentered"/>
              <w:jc w:val="left"/>
              <w:rPr>
                <w:sz w:val="22"/>
                <w:szCs w:val="18"/>
              </w:rPr>
            </w:pPr>
            <w:r w:rsidRPr="003C6F7F">
              <w:rPr>
                <w:sz w:val="22"/>
                <w:szCs w:val="18"/>
              </w:rPr>
              <w:t xml:space="preserve">Ensuring disadvantaged students have access to ensure physical wellbeing during several points of the school day </w:t>
            </w:r>
            <w:hyperlink r:id="rId36" w:history="1">
              <w:r w:rsidRPr="003C6F7F">
                <w:rPr>
                  <w:rStyle w:val="Hyperlink"/>
                  <w:sz w:val="22"/>
                  <w:szCs w:val="18"/>
                </w:rPr>
                <w:t>https://www.nhs.uk/live-well/exercise/exercise-health-benefits/</w:t>
              </w:r>
            </w:hyperlink>
            <w:r w:rsidRPr="003C6F7F">
              <w:rPr>
                <w:sz w:val="22"/>
                <w:szCs w:val="18"/>
              </w:rPr>
              <w:t xml:space="preserve">  </w:t>
            </w:r>
          </w:p>
          <w:p w14:paraId="66A34285" w14:textId="77777777" w:rsidR="003C6F7F" w:rsidRPr="003C6F7F" w:rsidRDefault="003C6F7F" w:rsidP="001747EF">
            <w:pPr>
              <w:pStyle w:val="TableRowCentered"/>
              <w:jc w:val="left"/>
              <w:rPr>
                <w:sz w:val="22"/>
                <w:szCs w:val="18"/>
              </w:rPr>
            </w:pPr>
          </w:p>
          <w:p w14:paraId="0D7A2C7D" w14:textId="203BC9CD" w:rsidR="003C6F7F" w:rsidRPr="001747EF" w:rsidRDefault="003C6F7F" w:rsidP="001747EF">
            <w:pPr>
              <w:pStyle w:val="TableRowCentered"/>
              <w:jc w:val="left"/>
            </w:pPr>
            <w:r w:rsidRPr="003C6F7F">
              <w:rPr>
                <w:sz w:val="22"/>
                <w:szCs w:val="18"/>
              </w:rPr>
              <w:t>Evidence suggests that extra-curricular physical activity is associated with positive academic attitudes and better attendance and homework completion rates. (DfE 2013)</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9657E" w14:textId="3A05CDDA" w:rsidR="006757F9" w:rsidRPr="004D66E1" w:rsidRDefault="00B777C7" w:rsidP="00C94233">
            <w:pPr>
              <w:pStyle w:val="TableRowCentered"/>
              <w:jc w:val="left"/>
              <w:rPr>
                <w:color w:val="auto"/>
                <w:sz w:val="22"/>
                <w:szCs w:val="22"/>
              </w:rPr>
            </w:pPr>
            <w:r>
              <w:rPr>
                <w:color w:val="auto"/>
                <w:sz w:val="22"/>
                <w:szCs w:val="22"/>
              </w:rPr>
              <w:lastRenderedPageBreak/>
              <w:t>4, 5, 6, 7, 8</w:t>
            </w:r>
          </w:p>
        </w:tc>
      </w:tr>
      <w:tr w:rsidR="00C94233" w14:paraId="714F647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2FD47" w14:textId="77777777" w:rsidR="00C94233" w:rsidRPr="004D66E1" w:rsidRDefault="00C94233" w:rsidP="00C94233">
            <w:pPr>
              <w:pStyle w:val="TableRow"/>
              <w:rPr>
                <w:color w:val="auto"/>
                <w:sz w:val="22"/>
                <w:szCs w:val="22"/>
              </w:rPr>
            </w:pPr>
            <w:r w:rsidRPr="004D66E1">
              <w:rPr>
                <w:color w:val="auto"/>
                <w:sz w:val="22"/>
                <w:szCs w:val="22"/>
              </w:rPr>
              <w:t>Contingency fund for acute issues.</w:t>
            </w:r>
          </w:p>
          <w:p w14:paraId="47DC00A5" w14:textId="77777777" w:rsidR="00C94233" w:rsidRPr="004D66E1" w:rsidRDefault="00C94233" w:rsidP="00C94233">
            <w:pPr>
              <w:pStyle w:val="TableRow"/>
              <w:rPr>
                <w:iCs/>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19C52" w14:textId="4367B96E" w:rsidR="00C94233" w:rsidRPr="004D66E1" w:rsidRDefault="00C94233" w:rsidP="00C94233">
            <w:pPr>
              <w:pStyle w:val="TableRowCentered"/>
              <w:numPr>
                <w:ilvl w:val="0"/>
                <w:numId w:val="1"/>
              </w:numPr>
              <w:jc w:val="left"/>
              <w:rPr>
                <w:sz w:val="22"/>
                <w:szCs w:val="22"/>
              </w:rPr>
            </w:pPr>
            <w:r w:rsidRPr="004D66E1">
              <w:rPr>
                <w:color w:val="auto"/>
                <w:sz w:val="22"/>
                <w:szCs w:val="22"/>
              </w:rPr>
              <w:t>Based on our experiences and those of similar schools to ours, we have identified a need to set funding aside to respond quickly to needs that have not yet been identified.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6E295" w14:textId="1D0E29D6" w:rsidR="00C94233" w:rsidRPr="004D66E1" w:rsidRDefault="00C94233" w:rsidP="00C94233">
            <w:pPr>
              <w:pStyle w:val="TableRowCentered"/>
              <w:jc w:val="left"/>
              <w:rPr>
                <w:sz w:val="22"/>
                <w:szCs w:val="22"/>
              </w:rPr>
            </w:pPr>
            <w:r w:rsidRPr="004D66E1">
              <w:rPr>
                <w:color w:val="auto"/>
                <w:sz w:val="22"/>
                <w:szCs w:val="22"/>
              </w:rPr>
              <w:t>All</w:t>
            </w:r>
          </w:p>
        </w:tc>
      </w:tr>
    </w:tbl>
    <w:p w14:paraId="2A7D5540" w14:textId="77777777" w:rsidR="00E66558" w:rsidRDefault="00E66558">
      <w:pPr>
        <w:spacing w:before="240" w:after="0"/>
        <w:rPr>
          <w:b/>
          <w:bCs/>
          <w:color w:val="104F75"/>
          <w:sz w:val="28"/>
          <w:szCs w:val="28"/>
        </w:rPr>
      </w:pPr>
    </w:p>
    <w:p w14:paraId="2A7D5564" w14:textId="661BA3B1" w:rsidR="00E66558" w:rsidRDefault="009D71E8" w:rsidP="257587FA">
      <w:pPr>
        <w:rPr>
          <w:b/>
          <w:bCs/>
          <w:color w:val="104F75"/>
          <w:sz w:val="18"/>
          <w:szCs w:val="18"/>
          <w:highlight w:val="yellow"/>
        </w:rPr>
      </w:pPr>
      <w:r w:rsidRPr="257587FA">
        <w:rPr>
          <w:b/>
          <w:bCs/>
          <w:color w:val="104F75"/>
          <w:sz w:val="28"/>
          <w:szCs w:val="28"/>
        </w:rPr>
        <w:t xml:space="preserve">Total budgeted cost: £ </w:t>
      </w:r>
      <w:r w:rsidR="579A95B7" w:rsidRPr="257587FA">
        <w:rPr>
          <w:b/>
          <w:bCs/>
          <w:color w:val="104F75"/>
          <w:sz w:val="28"/>
          <w:szCs w:val="28"/>
        </w:rPr>
        <w:t xml:space="preserve">391,398 </w:t>
      </w:r>
      <w:r w:rsidR="10740EBB" w:rsidRPr="257587FA">
        <w:rPr>
          <w:b/>
          <w:bCs/>
          <w:color w:val="104F75"/>
          <w:sz w:val="18"/>
          <w:szCs w:val="18"/>
          <w:highlight w:val="yellow"/>
        </w:rPr>
        <w:t>(</w:t>
      </w:r>
      <w:r w:rsidR="579A95B7" w:rsidRPr="257587FA">
        <w:rPr>
          <w:b/>
          <w:bCs/>
          <w:color w:val="104F75"/>
          <w:sz w:val="18"/>
          <w:szCs w:val="18"/>
          <w:highlight w:val="yellow"/>
        </w:rPr>
        <w:t>allocated at present</w:t>
      </w:r>
      <w:r w:rsidR="2DE73463" w:rsidRPr="257587FA">
        <w:rPr>
          <w:b/>
          <w:bCs/>
          <w:color w:val="104F75"/>
          <w:sz w:val="18"/>
          <w:szCs w:val="18"/>
          <w:highlight w:val="yellow"/>
        </w:rPr>
        <w:t>, further quotes to be included)</w:t>
      </w:r>
      <w:bookmarkEnd w:id="15"/>
      <w:bookmarkEnd w:id="16"/>
      <w:bookmarkEnd w:id="17"/>
    </w:p>
    <w:sectPr w:rsidR="00E66558">
      <w:headerReference w:type="even" r:id="rId37"/>
      <w:headerReference w:type="default" r:id="rId38"/>
      <w:footerReference w:type="default" r:id="rId39"/>
      <w:headerReference w:type="first" r:id="rId4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490CA" w14:textId="77777777" w:rsidR="008957E7" w:rsidRDefault="008957E7">
      <w:pPr>
        <w:spacing w:after="0" w:line="240" w:lineRule="auto"/>
      </w:pPr>
      <w:r>
        <w:separator/>
      </w:r>
    </w:p>
  </w:endnote>
  <w:endnote w:type="continuationSeparator" w:id="0">
    <w:p w14:paraId="0587701A" w14:textId="77777777" w:rsidR="008957E7" w:rsidRDefault="0089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3AD9" w14:textId="77777777" w:rsidR="008957E7" w:rsidRDefault="008957E7">
      <w:pPr>
        <w:spacing w:after="0" w:line="240" w:lineRule="auto"/>
      </w:pPr>
      <w:r>
        <w:separator/>
      </w:r>
    </w:p>
  </w:footnote>
  <w:footnote w:type="continuationSeparator" w:id="0">
    <w:p w14:paraId="7FC18878" w14:textId="77777777" w:rsidR="008957E7" w:rsidRDefault="00895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34BE" w14:textId="3914FE10" w:rsidR="00904250" w:rsidRDefault="00000000">
    <w:pPr>
      <w:pStyle w:val="Header"/>
    </w:pPr>
    <w:r>
      <w:rPr>
        <w:noProof/>
      </w:rPr>
      <w:pict w14:anchorId="72D038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85704" o:spid="_x0000_s1026" type="#_x0000_t136" style="position:absolute;margin-left:0;margin-top:0;width:478.15pt;height:191.2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0B8E" w14:textId="77AC3586" w:rsidR="00904250" w:rsidRDefault="00000000">
    <w:pPr>
      <w:pStyle w:val="Header"/>
    </w:pPr>
    <w:r>
      <w:rPr>
        <w:noProof/>
      </w:rPr>
      <w:pict w14:anchorId="0A8A5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85705" o:spid="_x0000_s1027" type="#_x0000_t136" style="position:absolute;margin-left:0;margin-top:0;width:478.15pt;height:191.2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38E2" w14:textId="32E4F150" w:rsidR="00904250" w:rsidRDefault="00000000">
    <w:pPr>
      <w:pStyle w:val="Header"/>
    </w:pPr>
    <w:r>
      <w:rPr>
        <w:noProof/>
      </w:rPr>
      <w:pict w14:anchorId="65FCEB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85703" o:spid="_x0000_s1025" type="#_x0000_t136" style="position:absolute;margin-left:0;margin-top:0;width:478.15pt;height:191.2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nud2ad5ZOmBKIt" int2:id="yYPBVP0v">
      <int2:state int2:value="Rejected" int2:type="AugLoop_Text_Critique"/>
      <int2:state int2:value="Rejected" int2:type="LegacyProofing"/>
    </int2:textHash>
    <int2:bookmark int2:bookmarkName="_Int_ytuw0oMZ" int2:invalidationBookmarkName="" int2:hashCode="KnKJLavR8NVxz0" int2:id="JdAsh7PM"/>
    <int2:bookmark int2:bookmarkName="_Int_bymm7C4D" int2:invalidationBookmarkName="" int2:hashCode="s91cIAnPxblTo3" int2:id="3w9pcH2o">
      <int2:state int2:value="Rejected" int2:type="AugLoop_Text_Critique"/>
    </int2:bookmark>
    <int2:bookmark int2:bookmarkName="_Int_hnYYopiZ" int2:invalidationBookmarkName="" int2:hashCode="s91cIAnPxblTo3" int2:id="4MQbv9zv">
      <int2:state int2:value="Rejected" int2:type="AugLoop_Text_Critique"/>
    </int2:bookmark>
    <int2:bookmark int2:bookmarkName="_Int_vqrFrXH1" int2:invalidationBookmarkName="" int2:hashCode="s91cIAnPxblTo3" int2:id="rKUOhY7e">
      <int2:state int2:value="Rejected" int2:type="AugLoop_Text_Critique"/>
    </int2:bookmark>
    <int2:bookmark int2:bookmarkName="_Int_vjZkOSIW" int2:invalidationBookmarkName="" int2:hashCode="s91cIAnPxblTo3" int2:id="wOJWAwMR">
      <int2:state int2:value="Rejected" int2:type="AugLoop_Text_Critique"/>
    </int2:bookmark>
    <int2:bookmark int2:bookmarkName="_Int_57ST6baI" int2:invalidationBookmarkName="" int2:hashCode="s91cIAnPxblTo3" int2:id="5US71nmR">
      <int2:state int2:value="Rejected" int2:type="AugLoop_Text_Critique"/>
    </int2:bookmark>
    <int2:bookmark int2:bookmarkName="_Int_nNcERo85" int2:invalidationBookmarkName="" int2:hashCode="s91cIAnPxblTo3" int2:id="Ve2fWGgc">
      <int2:state int2:value="Rejected" int2:type="AugLoop_Text_Critique"/>
    </int2:bookmark>
    <int2:bookmark int2:bookmarkName="_Int_D2WYzoMR" int2:invalidationBookmarkName="" int2:hashCode="0P4Qc2hfayI868" int2:id="YbrgMzE5">
      <int2:state int2:value="Rejected" int2:type="AugLoop_Text_Critique"/>
    </int2:bookmark>
    <int2:bookmark int2:bookmarkName="_Int_Omo3SfJx" int2:invalidationBookmarkName="" int2:hashCode="0P4Qc2hfayI868" int2:id="dkZlnsSn">
      <int2:state int2:value="Rejected" int2:type="AugLoop_Text_Critique"/>
    </int2:bookmark>
    <int2:bookmark int2:bookmarkName="_Int_ud484KWv" int2:invalidationBookmarkName="" int2:hashCode="s91cIAnPxblTo3" int2:id="YCQ4mMDc">
      <int2:state int2:value="Rejected" int2:type="AugLoop_Text_Critique"/>
    </int2:bookmark>
    <int2:bookmark int2:bookmarkName="_Int_wniPHWzS" int2:invalidationBookmarkName="" int2:hashCode="s91cIAnPxblTo3" int2:id="S97Y3bur">
      <int2:state int2:value="Rejected" int2:type="AugLoop_Text_Critique"/>
    </int2:bookmark>
    <int2:bookmark int2:bookmarkName="_Int_dwfAyWdn" int2:invalidationBookmarkName="" int2:hashCode="s91cIAnPxblTo3" int2:id="rE12KgPg">
      <int2:state int2:value="Rejected" int2:type="AugLoop_Text_Critique"/>
    </int2:bookmark>
    <int2:bookmark int2:bookmarkName="_Int_Jk9dkBSS" int2:invalidationBookmarkName="" int2:hashCode="/iXZyyoVcvJ7Tz" int2:id="LRU1Nrj4"/>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5B5"/>
    <w:multiLevelType w:val="hybridMultilevel"/>
    <w:tmpl w:val="028AE9C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F7A5B41"/>
    <w:multiLevelType w:val="hybridMultilevel"/>
    <w:tmpl w:val="2CD0B5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EF52A68"/>
    <w:multiLevelType w:val="hybridMultilevel"/>
    <w:tmpl w:val="36828A1E"/>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85965FD"/>
    <w:multiLevelType w:val="hybridMultilevel"/>
    <w:tmpl w:val="B0D2DF8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0E606E5"/>
    <w:multiLevelType w:val="hybridMultilevel"/>
    <w:tmpl w:val="78CCCB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4A4E4749"/>
    <w:multiLevelType w:val="hybridMultilevel"/>
    <w:tmpl w:val="0448897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4D6D1AD9"/>
    <w:multiLevelType w:val="hybridMultilevel"/>
    <w:tmpl w:val="1D34D46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536D360E"/>
    <w:multiLevelType w:val="hybridMultilevel"/>
    <w:tmpl w:val="0E1A41A0"/>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5" w15:restartNumberingAfterBreak="0">
    <w:nsid w:val="5EE25949"/>
    <w:multiLevelType w:val="hybridMultilevel"/>
    <w:tmpl w:val="01429FF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6E1C6BEA"/>
    <w:multiLevelType w:val="hybridMultilevel"/>
    <w:tmpl w:val="9A94ABC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C3728D2"/>
    <w:multiLevelType w:val="hybridMultilevel"/>
    <w:tmpl w:val="715C4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59705C"/>
    <w:multiLevelType w:val="hybridMultilevel"/>
    <w:tmpl w:val="876A6FF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1715351683">
    <w:abstractNumId w:val="5"/>
  </w:num>
  <w:num w:numId="2" w16cid:durableId="83383139">
    <w:abstractNumId w:val="3"/>
  </w:num>
  <w:num w:numId="3" w16cid:durableId="1191069991">
    <w:abstractNumId w:val="6"/>
  </w:num>
  <w:num w:numId="4" w16cid:durableId="1565725332">
    <w:abstractNumId w:val="8"/>
  </w:num>
  <w:num w:numId="5" w16cid:durableId="659307420">
    <w:abstractNumId w:val="2"/>
  </w:num>
  <w:num w:numId="6" w16cid:durableId="101384208">
    <w:abstractNumId w:val="10"/>
  </w:num>
  <w:num w:numId="7" w16cid:durableId="1137841802">
    <w:abstractNumId w:val="17"/>
  </w:num>
  <w:num w:numId="8" w16cid:durableId="1677533245">
    <w:abstractNumId w:val="22"/>
  </w:num>
  <w:num w:numId="9" w16cid:durableId="636565413">
    <w:abstractNumId w:val="20"/>
  </w:num>
  <w:num w:numId="10" w16cid:durableId="1645353488">
    <w:abstractNumId w:val="18"/>
  </w:num>
  <w:num w:numId="11" w16cid:durableId="150488642">
    <w:abstractNumId w:val="4"/>
  </w:num>
  <w:num w:numId="12" w16cid:durableId="1581061460">
    <w:abstractNumId w:val="21"/>
  </w:num>
  <w:num w:numId="13" w16cid:durableId="530605193">
    <w:abstractNumId w:val="16"/>
  </w:num>
  <w:num w:numId="14" w16cid:durableId="729158802">
    <w:abstractNumId w:val="19"/>
  </w:num>
  <w:num w:numId="15" w16cid:durableId="516965794">
    <w:abstractNumId w:val="9"/>
  </w:num>
  <w:num w:numId="16" w16cid:durableId="1967926860">
    <w:abstractNumId w:val="24"/>
  </w:num>
  <w:num w:numId="17" w16cid:durableId="2008360448">
    <w:abstractNumId w:val="13"/>
  </w:num>
  <w:num w:numId="18" w16cid:durableId="1411855721">
    <w:abstractNumId w:val="0"/>
  </w:num>
  <w:num w:numId="19" w16cid:durableId="358818401">
    <w:abstractNumId w:val="19"/>
  </w:num>
  <w:num w:numId="20" w16cid:durableId="429160406">
    <w:abstractNumId w:val="13"/>
  </w:num>
  <w:num w:numId="21" w16cid:durableId="1824543505">
    <w:abstractNumId w:val="24"/>
  </w:num>
  <w:num w:numId="22" w16cid:durableId="799416620">
    <w:abstractNumId w:val="0"/>
  </w:num>
  <w:num w:numId="23" w16cid:durableId="844593367">
    <w:abstractNumId w:val="9"/>
  </w:num>
  <w:num w:numId="24" w16cid:durableId="56369465">
    <w:abstractNumId w:val="14"/>
  </w:num>
  <w:num w:numId="25" w16cid:durableId="1530752208">
    <w:abstractNumId w:val="11"/>
  </w:num>
  <w:num w:numId="26" w16cid:durableId="1989482233">
    <w:abstractNumId w:val="1"/>
  </w:num>
  <w:num w:numId="27" w16cid:durableId="588393075">
    <w:abstractNumId w:val="7"/>
  </w:num>
  <w:num w:numId="28" w16cid:durableId="2131513971">
    <w:abstractNumId w:val="15"/>
  </w:num>
  <w:num w:numId="29" w16cid:durableId="688220271">
    <w:abstractNumId w:val="12"/>
  </w:num>
  <w:num w:numId="30" w16cid:durableId="19445359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5AA7"/>
    <w:rsid w:val="00014A95"/>
    <w:rsid w:val="000155D2"/>
    <w:rsid w:val="0002133C"/>
    <w:rsid w:val="00023219"/>
    <w:rsid w:val="00024ADF"/>
    <w:rsid w:val="00030E57"/>
    <w:rsid w:val="00031041"/>
    <w:rsid w:val="00055E52"/>
    <w:rsid w:val="000618C6"/>
    <w:rsid w:val="00066B73"/>
    <w:rsid w:val="00066F23"/>
    <w:rsid w:val="00071BF3"/>
    <w:rsid w:val="000A5308"/>
    <w:rsid w:val="000B111F"/>
    <w:rsid w:val="000D78E5"/>
    <w:rsid w:val="000E3769"/>
    <w:rsid w:val="000E6C97"/>
    <w:rsid w:val="000F4C9C"/>
    <w:rsid w:val="000F530C"/>
    <w:rsid w:val="000F6A2C"/>
    <w:rsid w:val="000F6CEE"/>
    <w:rsid w:val="00102F48"/>
    <w:rsid w:val="001047E4"/>
    <w:rsid w:val="00120AB1"/>
    <w:rsid w:val="0012419B"/>
    <w:rsid w:val="00146C0B"/>
    <w:rsid w:val="00147C3E"/>
    <w:rsid w:val="00152446"/>
    <w:rsid w:val="00153E5C"/>
    <w:rsid w:val="00156B18"/>
    <w:rsid w:val="00156D87"/>
    <w:rsid w:val="001747EF"/>
    <w:rsid w:val="0018124E"/>
    <w:rsid w:val="001847B7"/>
    <w:rsid w:val="001871F6"/>
    <w:rsid w:val="001A15C0"/>
    <w:rsid w:val="001A1E76"/>
    <w:rsid w:val="001B30AD"/>
    <w:rsid w:val="001C5934"/>
    <w:rsid w:val="001D16A9"/>
    <w:rsid w:val="001E188E"/>
    <w:rsid w:val="001F31D6"/>
    <w:rsid w:val="001F7445"/>
    <w:rsid w:val="00206FA9"/>
    <w:rsid w:val="00213806"/>
    <w:rsid w:val="00231356"/>
    <w:rsid w:val="00236E42"/>
    <w:rsid w:val="002550F0"/>
    <w:rsid w:val="00256EAF"/>
    <w:rsid w:val="00282293"/>
    <w:rsid w:val="00294D6C"/>
    <w:rsid w:val="002974C2"/>
    <w:rsid w:val="0029759C"/>
    <w:rsid w:val="002A29A7"/>
    <w:rsid w:val="002A6516"/>
    <w:rsid w:val="002B09D6"/>
    <w:rsid w:val="002B1571"/>
    <w:rsid w:val="002B44AF"/>
    <w:rsid w:val="002B5BFF"/>
    <w:rsid w:val="002C0F0D"/>
    <w:rsid w:val="002C2298"/>
    <w:rsid w:val="002C343F"/>
    <w:rsid w:val="002D28DE"/>
    <w:rsid w:val="002E1EA0"/>
    <w:rsid w:val="002E5408"/>
    <w:rsid w:val="002E6B9A"/>
    <w:rsid w:val="002F3272"/>
    <w:rsid w:val="002F38AF"/>
    <w:rsid w:val="0030115F"/>
    <w:rsid w:val="0030653D"/>
    <w:rsid w:val="00333F11"/>
    <w:rsid w:val="003506A2"/>
    <w:rsid w:val="003618CB"/>
    <w:rsid w:val="00365BA2"/>
    <w:rsid w:val="0037731D"/>
    <w:rsid w:val="003A4DBC"/>
    <w:rsid w:val="003A4F57"/>
    <w:rsid w:val="003B471E"/>
    <w:rsid w:val="003C0A91"/>
    <w:rsid w:val="003C6F7F"/>
    <w:rsid w:val="003C7A33"/>
    <w:rsid w:val="003D1638"/>
    <w:rsid w:val="003D2998"/>
    <w:rsid w:val="003D2F7C"/>
    <w:rsid w:val="003D66EB"/>
    <w:rsid w:val="003F24EE"/>
    <w:rsid w:val="004044AA"/>
    <w:rsid w:val="00426FF8"/>
    <w:rsid w:val="00440393"/>
    <w:rsid w:val="00441289"/>
    <w:rsid w:val="00442CF3"/>
    <w:rsid w:val="004503C6"/>
    <w:rsid w:val="00452A0F"/>
    <w:rsid w:val="00473ABA"/>
    <w:rsid w:val="004842B3"/>
    <w:rsid w:val="00497FD6"/>
    <w:rsid w:val="004A7727"/>
    <w:rsid w:val="004C2704"/>
    <w:rsid w:val="004D5493"/>
    <w:rsid w:val="004D66E1"/>
    <w:rsid w:val="004E409B"/>
    <w:rsid w:val="004E513C"/>
    <w:rsid w:val="004E5F0B"/>
    <w:rsid w:val="004F40B1"/>
    <w:rsid w:val="00500FF5"/>
    <w:rsid w:val="00505DFC"/>
    <w:rsid w:val="00515537"/>
    <w:rsid w:val="0051716F"/>
    <w:rsid w:val="005217F6"/>
    <w:rsid w:val="00524394"/>
    <w:rsid w:val="005436F5"/>
    <w:rsid w:val="00546147"/>
    <w:rsid w:val="00547911"/>
    <w:rsid w:val="00554A92"/>
    <w:rsid w:val="00562927"/>
    <w:rsid w:val="005743C0"/>
    <w:rsid w:val="00575DC8"/>
    <w:rsid w:val="00577907"/>
    <w:rsid w:val="005779EA"/>
    <w:rsid w:val="005900DF"/>
    <w:rsid w:val="0059094C"/>
    <w:rsid w:val="005C6621"/>
    <w:rsid w:val="005E3EEA"/>
    <w:rsid w:val="005E6C54"/>
    <w:rsid w:val="005F7177"/>
    <w:rsid w:val="00607CB3"/>
    <w:rsid w:val="00614400"/>
    <w:rsid w:val="006240A2"/>
    <w:rsid w:val="00626028"/>
    <w:rsid w:val="00645581"/>
    <w:rsid w:val="00665588"/>
    <w:rsid w:val="00674839"/>
    <w:rsid w:val="006754F2"/>
    <w:rsid w:val="006756AE"/>
    <w:rsid w:val="006757F9"/>
    <w:rsid w:val="006A2FDB"/>
    <w:rsid w:val="006B3E36"/>
    <w:rsid w:val="006D2794"/>
    <w:rsid w:val="006E25B6"/>
    <w:rsid w:val="006E7FB1"/>
    <w:rsid w:val="0070203B"/>
    <w:rsid w:val="00711C3C"/>
    <w:rsid w:val="007124C5"/>
    <w:rsid w:val="00714643"/>
    <w:rsid w:val="007221DF"/>
    <w:rsid w:val="007359E6"/>
    <w:rsid w:val="00741B9E"/>
    <w:rsid w:val="007473D8"/>
    <w:rsid w:val="0076519A"/>
    <w:rsid w:val="00774C74"/>
    <w:rsid w:val="00775F4B"/>
    <w:rsid w:val="00791B44"/>
    <w:rsid w:val="007A3426"/>
    <w:rsid w:val="007A45A4"/>
    <w:rsid w:val="007A45AA"/>
    <w:rsid w:val="007B2CE6"/>
    <w:rsid w:val="007B45F7"/>
    <w:rsid w:val="007C2F04"/>
    <w:rsid w:val="007E7B6D"/>
    <w:rsid w:val="008219B1"/>
    <w:rsid w:val="0082500E"/>
    <w:rsid w:val="00831F1A"/>
    <w:rsid w:val="00832F33"/>
    <w:rsid w:val="00851221"/>
    <w:rsid w:val="00855284"/>
    <w:rsid w:val="00856D46"/>
    <w:rsid w:val="00873BBC"/>
    <w:rsid w:val="00873F7D"/>
    <w:rsid w:val="00874DFB"/>
    <w:rsid w:val="008957E7"/>
    <w:rsid w:val="00896517"/>
    <w:rsid w:val="00897DDE"/>
    <w:rsid w:val="008C4F55"/>
    <w:rsid w:val="008C787D"/>
    <w:rsid w:val="008E0309"/>
    <w:rsid w:val="008E479A"/>
    <w:rsid w:val="008F083A"/>
    <w:rsid w:val="00904250"/>
    <w:rsid w:val="00907482"/>
    <w:rsid w:val="009148C0"/>
    <w:rsid w:val="009157F3"/>
    <w:rsid w:val="009175C4"/>
    <w:rsid w:val="0092532D"/>
    <w:rsid w:val="009367B4"/>
    <w:rsid w:val="009443B2"/>
    <w:rsid w:val="00945E0F"/>
    <w:rsid w:val="00950F8E"/>
    <w:rsid w:val="00955D30"/>
    <w:rsid w:val="00957ED8"/>
    <w:rsid w:val="00966142"/>
    <w:rsid w:val="00967128"/>
    <w:rsid w:val="009850EE"/>
    <w:rsid w:val="00986EA4"/>
    <w:rsid w:val="009A5C10"/>
    <w:rsid w:val="009C1B17"/>
    <w:rsid w:val="009C2FBC"/>
    <w:rsid w:val="009D1AA1"/>
    <w:rsid w:val="009D4C94"/>
    <w:rsid w:val="009D71E8"/>
    <w:rsid w:val="009D7271"/>
    <w:rsid w:val="009E2668"/>
    <w:rsid w:val="009E50EF"/>
    <w:rsid w:val="009F77EC"/>
    <w:rsid w:val="00A01F75"/>
    <w:rsid w:val="00A115B2"/>
    <w:rsid w:val="00A322A4"/>
    <w:rsid w:val="00A35DDE"/>
    <w:rsid w:val="00A44A0A"/>
    <w:rsid w:val="00A56BE6"/>
    <w:rsid w:val="00A57CE4"/>
    <w:rsid w:val="00A6019C"/>
    <w:rsid w:val="00A84861"/>
    <w:rsid w:val="00A84CDC"/>
    <w:rsid w:val="00A94805"/>
    <w:rsid w:val="00AA03AE"/>
    <w:rsid w:val="00AB0823"/>
    <w:rsid w:val="00AC3C6F"/>
    <w:rsid w:val="00AC7800"/>
    <w:rsid w:val="00AF2C8A"/>
    <w:rsid w:val="00AF32AD"/>
    <w:rsid w:val="00AF3A59"/>
    <w:rsid w:val="00AF458B"/>
    <w:rsid w:val="00B0403D"/>
    <w:rsid w:val="00B13911"/>
    <w:rsid w:val="00B15F24"/>
    <w:rsid w:val="00B21A1F"/>
    <w:rsid w:val="00B22CAC"/>
    <w:rsid w:val="00B2504A"/>
    <w:rsid w:val="00B32C9D"/>
    <w:rsid w:val="00B457B0"/>
    <w:rsid w:val="00B6186F"/>
    <w:rsid w:val="00B777C7"/>
    <w:rsid w:val="00BB4808"/>
    <w:rsid w:val="00BC635A"/>
    <w:rsid w:val="00C0483F"/>
    <w:rsid w:val="00C246E2"/>
    <w:rsid w:val="00C343A8"/>
    <w:rsid w:val="00C4414C"/>
    <w:rsid w:val="00C52B88"/>
    <w:rsid w:val="00C54311"/>
    <w:rsid w:val="00C56395"/>
    <w:rsid w:val="00C66D5C"/>
    <w:rsid w:val="00C94233"/>
    <w:rsid w:val="00CA758A"/>
    <w:rsid w:val="00CA7933"/>
    <w:rsid w:val="00CB6218"/>
    <w:rsid w:val="00CC61BB"/>
    <w:rsid w:val="00CC7098"/>
    <w:rsid w:val="00D0382A"/>
    <w:rsid w:val="00D05BF0"/>
    <w:rsid w:val="00D11F9B"/>
    <w:rsid w:val="00D15BA0"/>
    <w:rsid w:val="00D227FF"/>
    <w:rsid w:val="00D33FE5"/>
    <w:rsid w:val="00D52CA8"/>
    <w:rsid w:val="00D70552"/>
    <w:rsid w:val="00D756B2"/>
    <w:rsid w:val="00D7685B"/>
    <w:rsid w:val="00D85AD1"/>
    <w:rsid w:val="00D8677E"/>
    <w:rsid w:val="00D90FA3"/>
    <w:rsid w:val="00DA1139"/>
    <w:rsid w:val="00DA4AC8"/>
    <w:rsid w:val="00DA7C1B"/>
    <w:rsid w:val="00DB2D9A"/>
    <w:rsid w:val="00DB5F85"/>
    <w:rsid w:val="00DD40E7"/>
    <w:rsid w:val="00DE014D"/>
    <w:rsid w:val="00E00884"/>
    <w:rsid w:val="00E01724"/>
    <w:rsid w:val="00E25B7D"/>
    <w:rsid w:val="00E52712"/>
    <w:rsid w:val="00E5608D"/>
    <w:rsid w:val="00E62209"/>
    <w:rsid w:val="00E66558"/>
    <w:rsid w:val="00E91017"/>
    <w:rsid w:val="00EA289D"/>
    <w:rsid w:val="00EA4183"/>
    <w:rsid w:val="00EA6A75"/>
    <w:rsid w:val="00EA7EAE"/>
    <w:rsid w:val="00EC469B"/>
    <w:rsid w:val="00EE16DD"/>
    <w:rsid w:val="00EE7B30"/>
    <w:rsid w:val="00EF6218"/>
    <w:rsid w:val="00F07F96"/>
    <w:rsid w:val="00F12BD4"/>
    <w:rsid w:val="00F15780"/>
    <w:rsid w:val="00F42C57"/>
    <w:rsid w:val="00F44587"/>
    <w:rsid w:val="00F5181B"/>
    <w:rsid w:val="00F70C4C"/>
    <w:rsid w:val="00F73613"/>
    <w:rsid w:val="00F83548"/>
    <w:rsid w:val="00F90037"/>
    <w:rsid w:val="00F916A9"/>
    <w:rsid w:val="00FA741D"/>
    <w:rsid w:val="00FB2061"/>
    <w:rsid w:val="00FB2CB9"/>
    <w:rsid w:val="00FF53A0"/>
    <w:rsid w:val="012D2CB5"/>
    <w:rsid w:val="015E146E"/>
    <w:rsid w:val="01813E04"/>
    <w:rsid w:val="02453347"/>
    <w:rsid w:val="031D5828"/>
    <w:rsid w:val="047DD985"/>
    <w:rsid w:val="05DBA551"/>
    <w:rsid w:val="07300E9C"/>
    <w:rsid w:val="08A9A5A3"/>
    <w:rsid w:val="08F70DC5"/>
    <w:rsid w:val="09447087"/>
    <w:rsid w:val="0B78E09B"/>
    <w:rsid w:val="0B849323"/>
    <w:rsid w:val="0DA79087"/>
    <w:rsid w:val="0E4B0D1C"/>
    <w:rsid w:val="0ED9948B"/>
    <w:rsid w:val="0EEC8285"/>
    <w:rsid w:val="0F5C923E"/>
    <w:rsid w:val="10740EBB"/>
    <w:rsid w:val="10FDC52E"/>
    <w:rsid w:val="1145EC5E"/>
    <w:rsid w:val="117C835C"/>
    <w:rsid w:val="1180BFDE"/>
    <w:rsid w:val="11BA53A0"/>
    <w:rsid w:val="1246517C"/>
    <w:rsid w:val="128376F1"/>
    <w:rsid w:val="132E9F62"/>
    <w:rsid w:val="13DF5674"/>
    <w:rsid w:val="14BF22C3"/>
    <w:rsid w:val="19DA91D3"/>
    <w:rsid w:val="1A30EC23"/>
    <w:rsid w:val="1B1B90FD"/>
    <w:rsid w:val="1BA60C37"/>
    <w:rsid w:val="1BCF92E6"/>
    <w:rsid w:val="1BE7CE11"/>
    <w:rsid w:val="1C1928F8"/>
    <w:rsid w:val="1D925888"/>
    <w:rsid w:val="1DB4F959"/>
    <w:rsid w:val="1F1F6ED3"/>
    <w:rsid w:val="1FDE9D7C"/>
    <w:rsid w:val="20C29BE6"/>
    <w:rsid w:val="21042243"/>
    <w:rsid w:val="21E34E63"/>
    <w:rsid w:val="225F4E55"/>
    <w:rsid w:val="2268C80C"/>
    <w:rsid w:val="2275F540"/>
    <w:rsid w:val="239C9F4C"/>
    <w:rsid w:val="23EC77F4"/>
    <w:rsid w:val="24C1E272"/>
    <w:rsid w:val="257587FA"/>
    <w:rsid w:val="257F4531"/>
    <w:rsid w:val="25C7AE76"/>
    <w:rsid w:val="26826466"/>
    <w:rsid w:val="26AAE43D"/>
    <w:rsid w:val="26D4400E"/>
    <w:rsid w:val="27403E7E"/>
    <w:rsid w:val="27764A21"/>
    <w:rsid w:val="27AE943D"/>
    <w:rsid w:val="281E34C7"/>
    <w:rsid w:val="28487870"/>
    <w:rsid w:val="2B4E6180"/>
    <w:rsid w:val="2BCB7964"/>
    <w:rsid w:val="2BD5ACC0"/>
    <w:rsid w:val="2C32208A"/>
    <w:rsid w:val="2C8D487F"/>
    <w:rsid w:val="2DA3D8B5"/>
    <w:rsid w:val="2DE73463"/>
    <w:rsid w:val="2E82BB4F"/>
    <w:rsid w:val="2EB8C2F6"/>
    <w:rsid w:val="2F9EC156"/>
    <w:rsid w:val="2FD42CF2"/>
    <w:rsid w:val="2FD53002"/>
    <w:rsid w:val="301E8BB0"/>
    <w:rsid w:val="305254C4"/>
    <w:rsid w:val="30566B9D"/>
    <w:rsid w:val="3082EA16"/>
    <w:rsid w:val="32C64A9A"/>
    <w:rsid w:val="344DCAC7"/>
    <w:rsid w:val="34723279"/>
    <w:rsid w:val="3568B504"/>
    <w:rsid w:val="35C4A9E3"/>
    <w:rsid w:val="36DDD4B8"/>
    <w:rsid w:val="373E9D60"/>
    <w:rsid w:val="374F0204"/>
    <w:rsid w:val="37607A44"/>
    <w:rsid w:val="37D96189"/>
    <w:rsid w:val="3833E705"/>
    <w:rsid w:val="388B5F8C"/>
    <w:rsid w:val="38EAD265"/>
    <w:rsid w:val="39D57181"/>
    <w:rsid w:val="3C0E8C01"/>
    <w:rsid w:val="3C7D204D"/>
    <w:rsid w:val="3D7E7DEB"/>
    <w:rsid w:val="3DF44D3B"/>
    <w:rsid w:val="3E6991DE"/>
    <w:rsid w:val="3F54E9E5"/>
    <w:rsid w:val="3F7D6227"/>
    <w:rsid w:val="3FECD018"/>
    <w:rsid w:val="40F830FA"/>
    <w:rsid w:val="4188A079"/>
    <w:rsid w:val="41D46F2B"/>
    <w:rsid w:val="4290DBCA"/>
    <w:rsid w:val="4385779E"/>
    <w:rsid w:val="44832416"/>
    <w:rsid w:val="452C674B"/>
    <w:rsid w:val="472EBEAC"/>
    <w:rsid w:val="473953EB"/>
    <w:rsid w:val="489B62BE"/>
    <w:rsid w:val="4A9996D4"/>
    <w:rsid w:val="4AF3F20B"/>
    <w:rsid w:val="4AFB3FF1"/>
    <w:rsid w:val="4BD167A3"/>
    <w:rsid w:val="4D4855AA"/>
    <w:rsid w:val="4DC0E5A4"/>
    <w:rsid w:val="4DD1567D"/>
    <w:rsid w:val="4DFECD99"/>
    <w:rsid w:val="4FEE21A3"/>
    <w:rsid w:val="5325C265"/>
    <w:rsid w:val="53DC261B"/>
    <w:rsid w:val="53FF6453"/>
    <w:rsid w:val="5410B116"/>
    <w:rsid w:val="54152F3A"/>
    <w:rsid w:val="54A3AFA4"/>
    <w:rsid w:val="54E50F97"/>
    <w:rsid w:val="56280CB7"/>
    <w:rsid w:val="566BD7E9"/>
    <w:rsid w:val="5737B94C"/>
    <w:rsid w:val="578FC508"/>
    <w:rsid w:val="579A95B7"/>
    <w:rsid w:val="582E7008"/>
    <w:rsid w:val="589265C7"/>
    <w:rsid w:val="59751204"/>
    <w:rsid w:val="5A68A804"/>
    <w:rsid w:val="5AF179DB"/>
    <w:rsid w:val="5B21E671"/>
    <w:rsid w:val="5BF043AD"/>
    <w:rsid w:val="5CE1B99A"/>
    <w:rsid w:val="5DC91F65"/>
    <w:rsid w:val="5E132D60"/>
    <w:rsid w:val="5E5FDD47"/>
    <w:rsid w:val="5EBDBFE3"/>
    <w:rsid w:val="5F27E46F"/>
    <w:rsid w:val="60B3DB6C"/>
    <w:rsid w:val="615E8376"/>
    <w:rsid w:val="616996FC"/>
    <w:rsid w:val="636536D9"/>
    <w:rsid w:val="649DD208"/>
    <w:rsid w:val="6515FAC4"/>
    <w:rsid w:val="6740019B"/>
    <w:rsid w:val="679A6D89"/>
    <w:rsid w:val="67C49F8F"/>
    <w:rsid w:val="6852F963"/>
    <w:rsid w:val="69459BB9"/>
    <w:rsid w:val="6949A258"/>
    <w:rsid w:val="6A213E1F"/>
    <w:rsid w:val="6AAD4C70"/>
    <w:rsid w:val="6BB1F7DC"/>
    <w:rsid w:val="6C52C6F2"/>
    <w:rsid w:val="6C8C1994"/>
    <w:rsid w:val="6DE8634D"/>
    <w:rsid w:val="6E1703ED"/>
    <w:rsid w:val="6E7BA56C"/>
    <w:rsid w:val="6EACCFE0"/>
    <w:rsid w:val="6ECE2231"/>
    <w:rsid w:val="6EFEF383"/>
    <w:rsid w:val="6F964BB9"/>
    <w:rsid w:val="708D1CDC"/>
    <w:rsid w:val="70CC99D2"/>
    <w:rsid w:val="7231A6C9"/>
    <w:rsid w:val="7322EC00"/>
    <w:rsid w:val="744EF9B1"/>
    <w:rsid w:val="74C181EB"/>
    <w:rsid w:val="756589E7"/>
    <w:rsid w:val="75EA700F"/>
    <w:rsid w:val="75EA747B"/>
    <w:rsid w:val="76058611"/>
    <w:rsid w:val="7670B853"/>
    <w:rsid w:val="7722B2F9"/>
    <w:rsid w:val="77F1C7FE"/>
    <w:rsid w:val="79527071"/>
    <w:rsid w:val="79C1DBF3"/>
    <w:rsid w:val="7AEEA4A5"/>
    <w:rsid w:val="7AF01F9B"/>
    <w:rsid w:val="7B52A1D5"/>
    <w:rsid w:val="7B914FB5"/>
    <w:rsid w:val="7BFFAFD1"/>
    <w:rsid w:val="7D4180AF"/>
    <w:rsid w:val="7DAE3519"/>
    <w:rsid w:val="7DF56680"/>
    <w:rsid w:val="7F5560F5"/>
    <w:rsid w:val="7F676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4A"/>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D227FF"/>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5145">
      <w:bodyDiv w:val="1"/>
      <w:marLeft w:val="0"/>
      <w:marRight w:val="0"/>
      <w:marTop w:val="0"/>
      <w:marBottom w:val="0"/>
      <w:divBdr>
        <w:top w:val="none" w:sz="0" w:space="0" w:color="auto"/>
        <w:left w:val="none" w:sz="0" w:space="0" w:color="auto"/>
        <w:bottom w:val="none" w:sz="0" w:space="0" w:color="auto"/>
        <w:right w:val="none" w:sz="0" w:space="0" w:color="auto"/>
      </w:divBdr>
      <w:divsChild>
        <w:div w:id="261688964">
          <w:marLeft w:val="0"/>
          <w:marRight w:val="4560"/>
          <w:marTop w:val="0"/>
          <w:marBottom w:val="0"/>
          <w:divBdr>
            <w:top w:val="single" w:sz="2" w:space="0" w:color="auto"/>
            <w:left w:val="single" w:sz="2" w:space="0" w:color="auto"/>
            <w:bottom w:val="single" w:sz="2" w:space="0" w:color="auto"/>
            <w:right w:val="single" w:sz="2" w:space="0" w:color="auto"/>
          </w:divBdr>
          <w:divsChild>
            <w:div w:id="786899277">
              <w:marLeft w:val="0"/>
              <w:marRight w:val="0"/>
              <w:marTop w:val="0"/>
              <w:marBottom w:val="0"/>
              <w:divBdr>
                <w:top w:val="single" w:sz="2" w:space="0" w:color="auto"/>
                <w:left w:val="single" w:sz="2" w:space="0" w:color="auto"/>
                <w:bottom w:val="single" w:sz="2" w:space="0" w:color="auto"/>
                <w:right w:val="single" w:sz="2" w:space="0" w:color="auto"/>
              </w:divBdr>
            </w:div>
          </w:divsChild>
        </w:div>
        <w:div w:id="1137992140">
          <w:marLeft w:val="4560"/>
          <w:marRight w:val="4560"/>
          <w:marTop w:val="0"/>
          <w:marBottom w:val="0"/>
          <w:divBdr>
            <w:top w:val="single" w:sz="2" w:space="0" w:color="auto"/>
            <w:left w:val="single" w:sz="2" w:space="0" w:color="auto"/>
            <w:bottom w:val="single" w:sz="2" w:space="0" w:color="auto"/>
            <w:right w:val="single" w:sz="2" w:space="0" w:color="auto"/>
          </w:divBdr>
          <w:divsChild>
            <w:div w:id="1649243546">
              <w:marLeft w:val="0"/>
              <w:marRight w:val="0"/>
              <w:marTop w:val="0"/>
              <w:marBottom w:val="0"/>
              <w:divBdr>
                <w:top w:val="single" w:sz="2" w:space="0" w:color="auto"/>
                <w:left w:val="single" w:sz="2" w:space="0" w:color="auto"/>
                <w:bottom w:val="single" w:sz="2" w:space="0" w:color="auto"/>
                <w:right w:val="single" w:sz="2" w:space="0" w:color="auto"/>
              </w:divBdr>
            </w:div>
          </w:divsChild>
        </w:div>
        <w:div w:id="653724133">
          <w:marLeft w:val="4560"/>
          <w:marRight w:val="4560"/>
          <w:marTop w:val="0"/>
          <w:marBottom w:val="0"/>
          <w:divBdr>
            <w:top w:val="single" w:sz="2" w:space="0" w:color="auto"/>
            <w:left w:val="single" w:sz="2" w:space="0" w:color="auto"/>
            <w:bottom w:val="single" w:sz="2" w:space="0" w:color="auto"/>
            <w:right w:val="single" w:sz="2" w:space="0" w:color="auto"/>
          </w:divBdr>
          <w:divsChild>
            <w:div w:id="2062709242">
              <w:marLeft w:val="0"/>
              <w:marRight w:val="0"/>
              <w:marTop w:val="0"/>
              <w:marBottom w:val="0"/>
              <w:divBdr>
                <w:top w:val="single" w:sz="2" w:space="0" w:color="auto"/>
                <w:left w:val="single" w:sz="2" w:space="0" w:color="auto"/>
                <w:bottom w:val="single" w:sz="2" w:space="0" w:color="auto"/>
                <w:right w:val="single" w:sz="2" w:space="0" w:color="auto"/>
              </w:divBdr>
            </w:div>
          </w:divsChild>
        </w:div>
        <w:div w:id="1512911594">
          <w:marLeft w:val="4560"/>
          <w:marRight w:val="4560"/>
          <w:marTop w:val="0"/>
          <w:marBottom w:val="0"/>
          <w:divBdr>
            <w:top w:val="single" w:sz="2" w:space="0" w:color="auto"/>
            <w:left w:val="single" w:sz="2" w:space="0" w:color="auto"/>
            <w:bottom w:val="single" w:sz="2" w:space="0" w:color="auto"/>
            <w:right w:val="single" w:sz="2" w:space="0" w:color="auto"/>
          </w:divBdr>
          <w:divsChild>
            <w:div w:id="691683255">
              <w:marLeft w:val="0"/>
              <w:marRight w:val="0"/>
              <w:marTop w:val="0"/>
              <w:marBottom w:val="0"/>
              <w:divBdr>
                <w:top w:val="single" w:sz="2" w:space="0" w:color="auto"/>
                <w:left w:val="single" w:sz="2" w:space="0" w:color="auto"/>
                <w:bottom w:val="single" w:sz="2" w:space="0" w:color="auto"/>
                <w:right w:val="single" w:sz="2" w:space="0" w:color="auto"/>
              </w:divBdr>
            </w:div>
          </w:divsChild>
        </w:div>
        <w:div w:id="306594521">
          <w:marLeft w:val="4560"/>
          <w:marRight w:val="4560"/>
          <w:marTop w:val="0"/>
          <w:marBottom w:val="0"/>
          <w:divBdr>
            <w:top w:val="single" w:sz="2" w:space="0" w:color="auto"/>
            <w:left w:val="single" w:sz="2" w:space="0" w:color="auto"/>
            <w:bottom w:val="single" w:sz="2" w:space="0" w:color="auto"/>
            <w:right w:val="single" w:sz="2" w:space="0" w:color="auto"/>
          </w:divBdr>
          <w:divsChild>
            <w:div w:id="15740755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15887233">
      <w:bodyDiv w:val="1"/>
      <w:marLeft w:val="0"/>
      <w:marRight w:val="0"/>
      <w:marTop w:val="0"/>
      <w:marBottom w:val="0"/>
      <w:divBdr>
        <w:top w:val="none" w:sz="0" w:space="0" w:color="auto"/>
        <w:left w:val="none" w:sz="0" w:space="0" w:color="auto"/>
        <w:bottom w:val="none" w:sz="0" w:space="0" w:color="auto"/>
        <w:right w:val="none" w:sz="0" w:space="0" w:color="auto"/>
      </w:divBdr>
      <w:divsChild>
        <w:div w:id="369960607">
          <w:marLeft w:val="0"/>
          <w:marRight w:val="4560"/>
          <w:marTop w:val="0"/>
          <w:marBottom w:val="0"/>
          <w:divBdr>
            <w:top w:val="single" w:sz="2" w:space="0" w:color="auto"/>
            <w:left w:val="single" w:sz="2" w:space="0" w:color="auto"/>
            <w:bottom w:val="single" w:sz="2" w:space="0" w:color="auto"/>
            <w:right w:val="single" w:sz="2" w:space="0" w:color="auto"/>
          </w:divBdr>
          <w:divsChild>
            <w:div w:id="2146775995">
              <w:marLeft w:val="0"/>
              <w:marRight w:val="0"/>
              <w:marTop w:val="0"/>
              <w:marBottom w:val="0"/>
              <w:divBdr>
                <w:top w:val="single" w:sz="2" w:space="0" w:color="auto"/>
                <w:left w:val="single" w:sz="2" w:space="0" w:color="auto"/>
                <w:bottom w:val="single" w:sz="2" w:space="0" w:color="auto"/>
                <w:right w:val="single" w:sz="2" w:space="0" w:color="auto"/>
              </w:divBdr>
            </w:div>
          </w:divsChild>
        </w:div>
        <w:div w:id="659893608">
          <w:marLeft w:val="4560"/>
          <w:marRight w:val="4560"/>
          <w:marTop w:val="0"/>
          <w:marBottom w:val="0"/>
          <w:divBdr>
            <w:top w:val="single" w:sz="2" w:space="0" w:color="auto"/>
            <w:left w:val="single" w:sz="2" w:space="0" w:color="auto"/>
            <w:bottom w:val="single" w:sz="2" w:space="0" w:color="auto"/>
            <w:right w:val="single" w:sz="2" w:space="0" w:color="auto"/>
          </w:divBdr>
          <w:divsChild>
            <w:div w:id="6659775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42380804">
      <w:bodyDiv w:val="1"/>
      <w:marLeft w:val="0"/>
      <w:marRight w:val="0"/>
      <w:marTop w:val="0"/>
      <w:marBottom w:val="0"/>
      <w:divBdr>
        <w:top w:val="none" w:sz="0" w:space="0" w:color="auto"/>
        <w:left w:val="none" w:sz="0" w:space="0" w:color="auto"/>
        <w:bottom w:val="none" w:sz="0" w:space="0" w:color="auto"/>
        <w:right w:val="none" w:sz="0" w:space="0" w:color="auto"/>
      </w:divBdr>
      <w:divsChild>
        <w:div w:id="1497182488">
          <w:marLeft w:val="0"/>
          <w:marRight w:val="4560"/>
          <w:marTop w:val="0"/>
          <w:marBottom w:val="0"/>
          <w:divBdr>
            <w:top w:val="single" w:sz="2" w:space="0" w:color="auto"/>
            <w:left w:val="single" w:sz="2" w:space="0" w:color="auto"/>
            <w:bottom w:val="single" w:sz="2" w:space="0" w:color="auto"/>
            <w:right w:val="single" w:sz="2" w:space="0" w:color="auto"/>
          </w:divBdr>
          <w:divsChild>
            <w:div w:id="237061481">
              <w:marLeft w:val="0"/>
              <w:marRight w:val="0"/>
              <w:marTop w:val="0"/>
              <w:marBottom w:val="0"/>
              <w:divBdr>
                <w:top w:val="single" w:sz="2" w:space="0" w:color="auto"/>
                <w:left w:val="single" w:sz="2" w:space="0" w:color="auto"/>
                <w:bottom w:val="single" w:sz="2" w:space="0" w:color="auto"/>
                <w:right w:val="single" w:sz="2" w:space="0" w:color="auto"/>
              </w:divBdr>
            </w:div>
          </w:divsChild>
        </w:div>
        <w:div w:id="1493641652">
          <w:marLeft w:val="4560"/>
          <w:marRight w:val="4560"/>
          <w:marTop w:val="0"/>
          <w:marBottom w:val="0"/>
          <w:divBdr>
            <w:top w:val="single" w:sz="2" w:space="0" w:color="auto"/>
            <w:left w:val="single" w:sz="2" w:space="0" w:color="auto"/>
            <w:bottom w:val="single" w:sz="2" w:space="0" w:color="auto"/>
            <w:right w:val="single" w:sz="2" w:space="0" w:color="auto"/>
          </w:divBdr>
          <w:divsChild>
            <w:div w:id="189533244">
              <w:marLeft w:val="0"/>
              <w:marRight w:val="0"/>
              <w:marTop w:val="0"/>
              <w:marBottom w:val="0"/>
              <w:divBdr>
                <w:top w:val="single" w:sz="2" w:space="0" w:color="auto"/>
                <w:left w:val="single" w:sz="2" w:space="0" w:color="auto"/>
                <w:bottom w:val="single" w:sz="2" w:space="0" w:color="auto"/>
                <w:right w:val="single" w:sz="2" w:space="0" w:color="auto"/>
              </w:divBdr>
            </w:div>
          </w:divsChild>
        </w:div>
        <w:div w:id="1178351841">
          <w:marLeft w:val="4560"/>
          <w:marRight w:val="4560"/>
          <w:marTop w:val="0"/>
          <w:marBottom w:val="0"/>
          <w:divBdr>
            <w:top w:val="single" w:sz="2" w:space="0" w:color="auto"/>
            <w:left w:val="single" w:sz="2" w:space="0" w:color="auto"/>
            <w:bottom w:val="single" w:sz="2" w:space="0" w:color="auto"/>
            <w:right w:val="single" w:sz="2" w:space="0" w:color="auto"/>
          </w:divBdr>
          <w:divsChild>
            <w:div w:id="1874608364">
              <w:marLeft w:val="0"/>
              <w:marRight w:val="0"/>
              <w:marTop w:val="0"/>
              <w:marBottom w:val="0"/>
              <w:divBdr>
                <w:top w:val="single" w:sz="2" w:space="0" w:color="auto"/>
                <w:left w:val="single" w:sz="2" w:space="0" w:color="auto"/>
                <w:bottom w:val="single" w:sz="2" w:space="0" w:color="auto"/>
                <w:right w:val="single" w:sz="2" w:space="0" w:color="auto"/>
              </w:divBdr>
            </w:div>
          </w:divsChild>
        </w:div>
        <w:div w:id="1815294163">
          <w:marLeft w:val="4560"/>
          <w:marRight w:val="4560"/>
          <w:marTop w:val="0"/>
          <w:marBottom w:val="0"/>
          <w:divBdr>
            <w:top w:val="single" w:sz="2" w:space="0" w:color="auto"/>
            <w:left w:val="single" w:sz="2" w:space="0" w:color="auto"/>
            <w:bottom w:val="single" w:sz="2" w:space="0" w:color="auto"/>
            <w:right w:val="single" w:sz="2" w:space="0" w:color="auto"/>
          </w:divBdr>
          <w:divsChild>
            <w:div w:id="56341876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58793485">
      <w:bodyDiv w:val="1"/>
      <w:marLeft w:val="0"/>
      <w:marRight w:val="0"/>
      <w:marTop w:val="0"/>
      <w:marBottom w:val="0"/>
      <w:divBdr>
        <w:top w:val="none" w:sz="0" w:space="0" w:color="auto"/>
        <w:left w:val="none" w:sz="0" w:space="0" w:color="auto"/>
        <w:bottom w:val="none" w:sz="0" w:space="0" w:color="auto"/>
        <w:right w:val="none" w:sz="0" w:space="0" w:color="auto"/>
      </w:divBdr>
      <w:divsChild>
        <w:div w:id="377096694">
          <w:marLeft w:val="0"/>
          <w:marRight w:val="4560"/>
          <w:marTop w:val="0"/>
          <w:marBottom w:val="0"/>
          <w:divBdr>
            <w:top w:val="single" w:sz="2" w:space="0" w:color="auto"/>
            <w:left w:val="single" w:sz="2" w:space="0" w:color="auto"/>
            <w:bottom w:val="single" w:sz="2" w:space="0" w:color="auto"/>
            <w:right w:val="single" w:sz="2" w:space="0" w:color="auto"/>
          </w:divBdr>
          <w:divsChild>
            <w:div w:id="579218876">
              <w:marLeft w:val="0"/>
              <w:marRight w:val="0"/>
              <w:marTop w:val="0"/>
              <w:marBottom w:val="0"/>
              <w:divBdr>
                <w:top w:val="single" w:sz="2" w:space="0" w:color="auto"/>
                <w:left w:val="single" w:sz="2" w:space="0" w:color="auto"/>
                <w:bottom w:val="single" w:sz="2" w:space="0" w:color="auto"/>
                <w:right w:val="single" w:sz="2" w:space="0" w:color="auto"/>
              </w:divBdr>
            </w:div>
          </w:divsChild>
        </w:div>
        <w:div w:id="234628719">
          <w:marLeft w:val="4560"/>
          <w:marRight w:val="4560"/>
          <w:marTop w:val="0"/>
          <w:marBottom w:val="0"/>
          <w:divBdr>
            <w:top w:val="single" w:sz="2" w:space="0" w:color="auto"/>
            <w:left w:val="single" w:sz="2" w:space="0" w:color="auto"/>
            <w:bottom w:val="single" w:sz="2" w:space="0" w:color="auto"/>
            <w:right w:val="single" w:sz="2" w:space="0" w:color="auto"/>
          </w:divBdr>
          <w:divsChild>
            <w:div w:id="709842553">
              <w:marLeft w:val="0"/>
              <w:marRight w:val="0"/>
              <w:marTop w:val="0"/>
              <w:marBottom w:val="0"/>
              <w:divBdr>
                <w:top w:val="single" w:sz="2" w:space="0" w:color="auto"/>
                <w:left w:val="single" w:sz="2" w:space="0" w:color="auto"/>
                <w:bottom w:val="single" w:sz="2" w:space="0" w:color="auto"/>
                <w:right w:val="single" w:sz="2" w:space="0" w:color="auto"/>
              </w:divBdr>
            </w:div>
          </w:divsChild>
        </w:div>
        <w:div w:id="532691199">
          <w:marLeft w:val="4560"/>
          <w:marRight w:val="4560"/>
          <w:marTop w:val="0"/>
          <w:marBottom w:val="0"/>
          <w:divBdr>
            <w:top w:val="single" w:sz="2" w:space="0" w:color="auto"/>
            <w:left w:val="single" w:sz="2" w:space="0" w:color="auto"/>
            <w:bottom w:val="single" w:sz="2" w:space="0" w:color="auto"/>
            <w:right w:val="single" w:sz="2" w:space="0" w:color="auto"/>
          </w:divBdr>
          <w:divsChild>
            <w:div w:id="2135635906">
              <w:marLeft w:val="0"/>
              <w:marRight w:val="0"/>
              <w:marTop w:val="0"/>
              <w:marBottom w:val="0"/>
              <w:divBdr>
                <w:top w:val="single" w:sz="2" w:space="0" w:color="auto"/>
                <w:left w:val="single" w:sz="2" w:space="0" w:color="auto"/>
                <w:bottom w:val="single" w:sz="2" w:space="0" w:color="auto"/>
                <w:right w:val="single" w:sz="2" w:space="0" w:color="auto"/>
              </w:divBdr>
            </w:div>
          </w:divsChild>
        </w:div>
        <w:div w:id="1330254911">
          <w:marLeft w:val="4560"/>
          <w:marRight w:val="4560"/>
          <w:marTop w:val="0"/>
          <w:marBottom w:val="0"/>
          <w:divBdr>
            <w:top w:val="single" w:sz="2" w:space="0" w:color="auto"/>
            <w:left w:val="single" w:sz="2" w:space="0" w:color="auto"/>
            <w:bottom w:val="single" w:sz="2" w:space="0" w:color="auto"/>
            <w:right w:val="single" w:sz="2" w:space="0" w:color="auto"/>
          </w:divBdr>
          <w:divsChild>
            <w:div w:id="680550188">
              <w:marLeft w:val="0"/>
              <w:marRight w:val="0"/>
              <w:marTop w:val="0"/>
              <w:marBottom w:val="0"/>
              <w:divBdr>
                <w:top w:val="single" w:sz="2" w:space="0" w:color="auto"/>
                <w:left w:val="single" w:sz="2" w:space="0" w:color="auto"/>
                <w:bottom w:val="single" w:sz="2" w:space="0" w:color="auto"/>
                <w:right w:val="single" w:sz="2" w:space="0" w:color="auto"/>
              </w:divBdr>
            </w:div>
          </w:divsChild>
        </w:div>
        <w:div w:id="130633451">
          <w:marLeft w:val="4560"/>
          <w:marRight w:val="4560"/>
          <w:marTop w:val="0"/>
          <w:marBottom w:val="0"/>
          <w:divBdr>
            <w:top w:val="single" w:sz="2" w:space="0" w:color="auto"/>
            <w:left w:val="single" w:sz="2" w:space="0" w:color="auto"/>
            <w:bottom w:val="single" w:sz="2" w:space="0" w:color="auto"/>
            <w:right w:val="single" w:sz="2" w:space="0" w:color="auto"/>
          </w:divBdr>
          <w:divsChild>
            <w:div w:id="97078491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20527092">
      <w:bodyDiv w:val="1"/>
      <w:marLeft w:val="0"/>
      <w:marRight w:val="0"/>
      <w:marTop w:val="0"/>
      <w:marBottom w:val="0"/>
      <w:divBdr>
        <w:top w:val="none" w:sz="0" w:space="0" w:color="auto"/>
        <w:left w:val="none" w:sz="0" w:space="0" w:color="auto"/>
        <w:bottom w:val="none" w:sz="0" w:space="0" w:color="auto"/>
        <w:right w:val="none" w:sz="0" w:space="0" w:color="auto"/>
      </w:divBdr>
      <w:divsChild>
        <w:div w:id="2002154912">
          <w:marLeft w:val="0"/>
          <w:marRight w:val="4560"/>
          <w:marTop w:val="0"/>
          <w:marBottom w:val="0"/>
          <w:divBdr>
            <w:top w:val="single" w:sz="2" w:space="0" w:color="auto"/>
            <w:left w:val="single" w:sz="2" w:space="0" w:color="auto"/>
            <w:bottom w:val="single" w:sz="2" w:space="0" w:color="auto"/>
            <w:right w:val="single" w:sz="2" w:space="0" w:color="auto"/>
          </w:divBdr>
          <w:divsChild>
            <w:div w:id="1524051811">
              <w:marLeft w:val="0"/>
              <w:marRight w:val="0"/>
              <w:marTop w:val="0"/>
              <w:marBottom w:val="0"/>
              <w:divBdr>
                <w:top w:val="single" w:sz="2" w:space="0" w:color="auto"/>
                <w:left w:val="single" w:sz="2" w:space="0" w:color="auto"/>
                <w:bottom w:val="single" w:sz="2" w:space="0" w:color="auto"/>
                <w:right w:val="single" w:sz="2" w:space="0" w:color="auto"/>
              </w:divBdr>
            </w:div>
          </w:divsChild>
        </w:div>
        <w:div w:id="1156186291">
          <w:marLeft w:val="4560"/>
          <w:marRight w:val="4560"/>
          <w:marTop w:val="0"/>
          <w:marBottom w:val="0"/>
          <w:divBdr>
            <w:top w:val="single" w:sz="2" w:space="0" w:color="auto"/>
            <w:left w:val="single" w:sz="2" w:space="0" w:color="auto"/>
            <w:bottom w:val="single" w:sz="2" w:space="0" w:color="auto"/>
            <w:right w:val="single" w:sz="2" w:space="0" w:color="auto"/>
          </w:divBdr>
          <w:divsChild>
            <w:div w:id="841318334">
              <w:marLeft w:val="0"/>
              <w:marRight w:val="0"/>
              <w:marTop w:val="0"/>
              <w:marBottom w:val="0"/>
              <w:divBdr>
                <w:top w:val="single" w:sz="2" w:space="0" w:color="auto"/>
                <w:left w:val="single" w:sz="2" w:space="0" w:color="auto"/>
                <w:bottom w:val="single" w:sz="2" w:space="0" w:color="auto"/>
                <w:right w:val="single" w:sz="2" w:space="0" w:color="auto"/>
              </w:divBdr>
            </w:div>
          </w:divsChild>
        </w:div>
        <w:div w:id="1682468481">
          <w:marLeft w:val="4560"/>
          <w:marRight w:val="4560"/>
          <w:marTop w:val="0"/>
          <w:marBottom w:val="0"/>
          <w:divBdr>
            <w:top w:val="single" w:sz="2" w:space="0" w:color="auto"/>
            <w:left w:val="single" w:sz="2" w:space="0" w:color="auto"/>
            <w:bottom w:val="single" w:sz="2" w:space="0" w:color="auto"/>
            <w:right w:val="single" w:sz="2" w:space="0" w:color="auto"/>
          </w:divBdr>
          <w:divsChild>
            <w:div w:id="1247375924">
              <w:marLeft w:val="0"/>
              <w:marRight w:val="0"/>
              <w:marTop w:val="0"/>
              <w:marBottom w:val="0"/>
              <w:divBdr>
                <w:top w:val="single" w:sz="2" w:space="0" w:color="auto"/>
                <w:left w:val="single" w:sz="2" w:space="0" w:color="auto"/>
                <w:bottom w:val="single" w:sz="2" w:space="0" w:color="auto"/>
                <w:right w:val="single" w:sz="2" w:space="0" w:color="auto"/>
              </w:divBdr>
            </w:div>
          </w:divsChild>
        </w:div>
        <w:div w:id="2043899096">
          <w:marLeft w:val="4560"/>
          <w:marRight w:val="4560"/>
          <w:marTop w:val="0"/>
          <w:marBottom w:val="0"/>
          <w:divBdr>
            <w:top w:val="single" w:sz="2" w:space="0" w:color="auto"/>
            <w:left w:val="single" w:sz="2" w:space="0" w:color="auto"/>
            <w:bottom w:val="single" w:sz="2" w:space="0" w:color="auto"/>
            <w:right w:val="single" w:sz="2" w:space="0" w:color="auto"/>
          </w:divBdr>
          <w:divsChild>
            <w:div w:id="18434293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07000499">
      <w:bodyDiv w:val="1"/>
      <w:marLeft w:val="0"/>
      <w:marRight w:val="0"/>
      <w:marTop w:val="0"/>
      <w:marBottom w:val="0"/>
      <w:divBdr>
        <w:top w:val="none" w:sz="0" w:space="0" w:color="auto"/>
        <w:left w:val="none" w:sz="0" w:space="0" w:color="auto"/>
        <w:bottom w:val="none" w:sz="0" w:space="0" w:color="auto"/>
        <w:right w:val="none" w:sz="0" w:space="0" w:color="auto"/>
      </w:divBdr>
      <w:divsChild>
        <w:div w:id="643051482">
          <w:marLeft w:val="0"/>
          <w:marRight w:val="4560"/>
          <w:marTop w:val="0"/>
          <w:marBottom w:val="0"/>
          <w:divBdr>
            <w:top w:val="single" w:sz="2" w:space="0" w:color="auto"/>
            <w:left w:val="single" w:sz="2" w:space="0" w:color="auto"/>
            <w:bottom w:val="single" w:sz="2" w:space="0" w:color="auto"/>
            <w:right w:val="single" w:sz="2" w:space="0" w:color="auto"/>
          </w:divBdr>
          <w:divsChild>
            <w:div w:id="1234511268">
              <w:marLeft w:val="0"/>
              <w:marRight w:val="0"/>
              <w:marTop w:val="0"/>
              <w:marBottom w:val="0"/>
              <w:divBdr>
                <w:top w:val="single" w:sz="2" w:space="0" w:color="auto"/>
                <w:left w:val="single" w:sz="2" w:space="0" w:color="auto"/>
                <w:bottom w:val="single" w:sz="2" w:space="0" w:color="auto"/>
                <w:right w:val="single" w:sz="2" w:space="0" w:color="auto"/>
              </w:divBdr>
            </w:div>
          </w:divsChild>
        </w:div>
        <w:div w:id="1621453812">
          <w:marLeft w:val="4560"/>
          <w:marRight w:val="4560"/>
          <w:marTop w:val="0"/>
          <w:marBottom w:val="0"/>
          <w:divBdr>
            <w:top w:val="single" w:sz="2" w:space="0" w:color="auto"/>
            <w:left w:val="single" w:sz="2" w:space="0" w:color="auto"/>
            <w:bottom w:val="single" w:sz="2" w:space="0" w:color="auto"/>
            <w:right w:val="single" w:sz="2" w:space="0" w:color="auto"/>
          </w:divBdr>
          <w:divsChild>
            <w:div w:id="1164929594">
              <w:marLeft w:val="0"/>
              <w:marRight w:val="0"/>
              <w:marTop w:val="0"/>
              <w:marBottom w:val="0"/>
              <w:divBdr>
                <w:top w:val="single" w:sz="2" w:space="0" w:color="auto"/>
                <w:left w:val="single" w:sz="2" w:space="0" w:color="auto"/>
                <w:bottom w:val="single" w:sz="2" w:space="0" w:color="auto"/>
                <w:right w:val="single" w:sz="2" w:space="0" w:color="auto"/>
              </w:divBdr>
            </w:div>
          </w:divsChild>
        </w:div>
        <w:div w:id="482090686">
          <w:marLeft w:val="4560"/>
          <w:marRight w:val="4560"/>
          <w:marTop w:val="0"/>
          <w:marBottom w:val="0"/>
          <w:divBdr>
            <w:top w:val="single" w:sz="2" w:space="0" w:color="auto"/>
            <w:left w:val="single" w:sz="2" w:space="0" w:color="auto"/>
            <w:bottom w:val="single" w:sz="2" w:space="0" w:color="auto"/>
            <w:right w:val="single" w:sz="2" w:space="0" w:color="auto"/>
          </w:divBdr>
          <w:divsChild>
            <w:div w:id="240719981">
              <w:marLeft w:val="0"/>
              <w:marRight w:val="0"/>
              <w:marTop w:val="0"/>
              <w:marBottom w:val="0"/>
              <w:divBdr>
                <w:top w:val="single" w:sz="2" w:space="0" w:color="auto"/>
                <w:left w:val="single" w:sz="2" w:space="0" w:color="auto"/>
                <w:bottom w:val="single" w:sz="2" w:space="0" w:color="auto"/>
                <w:right w:val="single" w:sz="2" w:space="0" w:color="auto"/>
              </w:divBdr>
            </w:div>
          </w:divsChild>
        </w:div>
        <w:div w:id="1266502796">
          <w:marLeft w:val="4560"/>
          <w:marRight w:val="4560"/>
          <w:marTop w:val="0"/>
          <w:marBottom w:val="0"/>
          <w:divBdr>
            <w:top w:val="single" w:sz="2" w:space="0" w:color="auto"/>
            <w:left w:val="single" w:sz="2" w:space="0" w:color="auto"/>
            <w:bottom w:val="single" w:sz="2" w:space="0" w:color="auto"/>
            <w:right w:val="single" w:sz="2" w:space="0" w:color="auto"/>
          </w:divBdr>
          <w:divsChild>
            <w:div w:id="20938176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64702533">
      <w:bodyDiv w:val="1"/>
      <w:marLeft w:val="0"/>
      <w:marRight w:val="0"/>
      <w:marTop w:val="0"/>
      <w:marBottom w:val="0"/>
      <w:divBdr>
        <w:top w:val="none" w:sz="0" w:space="0" w:color="auto"/>
        <w:left w:val="none" w:sz="0" w:space="0" w:color="auto"/>
        <w:bottom w:val="none" w:sz="0" w:space="0" w:color="auto"/>
        <w:right w:val="none" w:sz="0" w:space="0" w:color="auto"/>
      </w:divBdr>
      <w:divsChild>
        <w:div w:id="1355688791">
          <w:marLeft w:val="0"/>
          <w:marRight w:val="4560"/>
          <w:marTop w:val="0"/>
          <w:marBottom w:val="0"/>
          <w:divBdr>
            <w:top w:val="single" w:sz="2" w:space="0" w:color="auto"/>
            <w:left w:val="single" w:sz="2" w:space="0" w:color="auto"/>
            <w:bottom w:val="single" w:sz="2" w:space="0" w:color="auto"/>
            <w:right w:val="single" w:sz="2" w:space="0" w:color="auto"/>
          </w:divBdr>
          <w:divsChild>
            <w:div w:id="66615610">
              <w:marLeft w:val="0"/>
              <w:marRight w:val="0"/>
              <w:marTop w:val="0"/>
              <w:marBottom w:val="0"/>
              <w:divBdr>
                <w:top w:val="single" w:sz="2" w:space="0" w:color="auto"/>
                <w:left w:val="single" w:sz="2" w:space="0" w:color="auto"/>
                <w:bottom w:val="single" w:sz="2" w:space="0" w:color="auto"/>
                <w:right w:val="single" w:sz="2" w:space="0" w:color="auto"/>
              </w:divBdr>
            </w:div>
          </w:divsChild>
        </w:div>
        <w:div w:id="1046485932">
          <w:marLeft w:val="4560"/>
          <w:marRight w:val="4560"/>
          <w:marTop w:val="0"/>
          <w:marBottom w:val="0"/>
          <w:divBdr>
            <w:top w:val="single" w:sz="2" w:space="0" w:color="auto"/>
            <w:left w:val="single" w:sz="2" w:space="0" w:color="auto"/>
            <w:bottom w:val="single" w:sz="2" w:space="0" w:color="auto"/>
            <w:right w:val="single" w:sz="2" w:space="0" w:color="auto"/>
          </w:divBdr>
          <w:divsChild>
            <w:div w:id="1046371009">
              <w:marLeft w:val="0"/>
              <w:marRight w:val="0"/>
              <w:marTop w:val="0"/>
              <w:marBottom w:val="0"/>
              <w:divBdr>
                <w:top w:val="single" w:sz="2" w:space="0" w:color="auto"/>
                <w:left w:val="single" w:sz="2" w:space="0" w:color="auto"/>
                <w:bottom w:val="single" w:sz="2" w:space="0" w:color="auto"/>
                <w:right w:val="single" w:sz="2" w:space="0" w:color="auto"/>
              </w:divBdr>
            </w:div>
          </w:divsChild>
        </w:div>
        <w:div w:id="1472094712">
          <w:marLeft w:val="4560"/>
          <w:marRight w:val="4560"/>
          <w:marTop w:val="0"/>
          <w:marBottom w:val="0"/>
          <w:divBdr>
            <w:top w:val="single" w:sz="2" w:space="0" w:color="auto"/>
            <w:left w:val="single" w:sz="2" w:space="0" w:color="auto"/>
            <w:bottom w:val="single" w:sz="2" w:space="0" w:color="auto"/>
            <w:right w:val="single" w:sz="2" w:space="0" w:color="auto"/>
          </w:divBdr>
          <w:divsChild>
            <w:div w:id="776825319">
              <w:marLeft w:val="0"/>
              <w:marRight w:val="0"/>
              <w:marTop w:val="0"/>
              <w:marBottom w:val="0"/>
              <w:divBdr>
                <w:top w:val="single" w:sz="2" w:space="0" w:color="auto"/>
                <w:left w:val="single" w:sz="2" w:space="0" w:color="auto"/>
                <w:bottom w:val="single" w:sz="2" w:space="0" w:color="auto"/>
                <w:right w:val="single" w:sz="2" w:space="0" w:color="auto"/>
              </w:divBdr>
            </w:div>
          </w:divsChild>
        </w:div>
        <w:div w:id="1730763297">
          <w:marLeft w:val="4560"/>
          <w:marRight w:val="4560"/>
          <w:marTop w:val="0"/>
          <w:marBottom w:val="0"/>
          <w:divBdr>
            <w:top w:val="single" w:sz="2" w:space="0" w:color="auto"/>
            <w:left w:val="single" w:sz="2" w:space="0" w:color="auto"/>
            <w:bottom w:val="single" w:sz="2" w:space="0" w:color="auto"/>
            <w:right w:val="single" w:sz="2" w:space="0" w:color="auto"/>
          </w:divBdr>
          <w:divsChild>
            <w:div w:id="2141336626">
              <w:marLeft w:val="0"/>
              <w:marRight w:val="0"/>
              <w:marTop w:val="0"/>
              <w:marBottom w:val="0"/>
              <w:divBdr>
                <w:top w:val="single" w:sz="2" w:space="0" w:color="auto"/>
                <w:left w:val="single" w:sz="2" w:space="0" w:color="auto"/>
                <w:bottom w:val="single" w:sz="2" w:space="0" w:color="auto"/>
                <w:right w:val="single" w:sz="2" w:space="0" w:color="auto"/>
              </w:divBdr>
            </w:div>
          </w:divsChild>
        </w:div>
        <w:div w:id="1028415337">
          <w:marLeft w:val="4560"/>
          <w:marRight w:val="4560"/>
          <w:marTop w:val="0"/>
          <w:marBottom w:val="0"/>
          <w:divBdr>
            <w:top w:val="single" w:sz="2" w:space="0" w:color="auto"/>
            <w:left w:val="single" w:sz="2" w:space="0" w:color="auto"/>
            <w:bottom w:val="single" w:sz="2" w:space="0" w:color="auto"/>
            <w:right w:val="single" w:sz="2" w:space="0" w:color="auto"/>
          </w:divBdr>
          <w:divsChild>
            <w:div w:id="11924566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92757937">
      <w:bodyDiv w:val="1"/>
      <w:marLeft w:val="0"/>
      <w:marRight w:val="0"/>
      <w:marTop w:val="0"/>
      <w:marBottom w:val="0"/>
      <w:divBdr>
        <w:top w:val="none" w:sz="0" w:space="0" w:color="auto"/>
        <w:left w:val="none" w:sz="0" w:space="0" w:color="auto"/>
        <w:bottom w:val="none" w:sz="0" w:space="0" w:color="auto"/>
        <w:right w:val="none" w:sz="0" w:space="0" w:color="auto"/>
      </w:divBdr>
      <w:divsChild>
        <w:div w:id="1269002737">
          <w:marLeft w:val="0"/>
          <w:marRight w:val="4560"/>
          <w:marTop w:val="0"/>
          <w:marBottom w:val="0"/>
          <w:divBdr>
            <w:top w:val="single" w:sz="2" w:space="0" w:color="auto"/>
            <w:left w:val="single" w:sz="2" w:space="0" w:color="auto"/>
            <w:bottom w:val="single" w:sz="2" w:space="0" w:color="auto"/>
            <w:right w:val="single" w:sz="2" w:space="0" w:color="auto"/>
          </w:divBdr>
          <w:divsChild>
            <w:div w:id="1994066156">
              <w:marLeft w:val="0"/>
              <w:marRight w:val="0"/>
              <w:marTop w:val="0"/>
              <w:marBottom w:val="0"/>
              <w:divBdr>
                <w:top w:val="single" w:sz="2" w:space="0" w:color="auto"/>
                <w:left w:val="single" w:sz="2" w:space="0" w:color="auto"/>
                <w:bottom w:val="single" w:sz="2" w:space="0" w:color="auto"/>
                <w:right w:val="single" w:sz="2" w:space="0" w:color="auto"/>
              </w:divBdr>
            </w:div>
          </w:divsChild>
        </w:div>
        <w:div w:id="21904071">
          <w:marLeft w:val="4560"/>
          <w:marRight w:val="4560"/>
          <w:marTop w:val="0"/>
          <w:marBottom w:val="0"/>
          <w:divBdr>
            <w:top w:val="single" w:sz="2" w:space="0" w:color="auto"/>
            <w:left w:val="single" w:sz="2" w:space="0" w:color="auto"/>
            <w:bottom w:val="single" w:sz="2" w:space="0" w:color="auto"/>
            <w:right w:val="single" w:sz="2" w:space="0" w:color="auto"/>
          </w:divBdr>
          <w:divsChild>
            <w:div w:id="1638410893">
              <w:marLeft w:val="0"/>
              <w:marRight w:val="0"/>
              <w:marTop w:val="0"/>
              <w:marBottom w:val="0"/>
              <w:divBdr>
                <w:top w:val="single" w:sz="2" w:space="0" w:color="auto"/>
                <w:left w:val="single" w:sz="2" w:space="0" w:color="auto"/>
                <w:bottom w:val="single" w:sz="2" w:space="0" w:color="auto"/>
                <w:right w:val="single" w:sz="2" w:space="0" w:color="auto"/>
              </w:divBdr>
            </w:div>
          </w:divsChild>
        </w:div>
        <w:div w:id="152724934">
          <w:marLeft w:val="4560"/>
          <w:marRight w:val="4560"/>
          <w:marTop w:val="0"/>
          <w:marBottom w:val="0"/>
          <w:divBdr>
            <w:top w:val="single" w:sz="2" w:space="0" w:color="auto"/>
            <w:left w:val="single" w:sz="2" w:space="0" w:color="auto"/>
            <w:bottom w:val="single" w:sz="2" w:space="0" w:color="auto"/>
            <w:right w:val="single" w:sz="2" w:space="0" w:color="auto"/>
          </w:divBdr>
          <w:divsChild>
            <w:div w:id="2000037614">
              <w:marLeft w:val="0"/>
              <w:marRight w:val="0"/>
              <w:marTop w:val="0"/>
              <w:marBottom w:val="0"/>
              <w:divBdr>
                <w:top w:val="single" w:sz="2" w:space="0" w:color="auto"/>
                <w:left w:val="single" w:sz="2" w:space="0" w:color="auto"/>
                <w:bottom w:val="single" w:sz="2" w:space="0" w:color="auto"/>
                <w:right w:val="single" w:sz="2" w:space="0" w:color="auto"/>
              </w:divBdr>
            </w:div>
          </w:divsChild>
        </w:div>
        <w:div w:id="386221996">
          <w:marLeft w:val="4560"/>
          <w:marRight w:val="4560"/>
          <w:marTop w:val="0"/>
          <w:marBottom w:val="0"/>
          <w:divBdr>
            <w:top w:val="single" w:sz="2" w:space="0" w:color="auto"/>
            <w:left w:val="single" w:sz="2" w:space="0" w:color="auto"/>
            <w:bottom w:val="single" w:sz="2" w:space="0" w:color="auto"/>
            <w:right w:val="single" w:sz="2" w:space="0" w:color="auto"/>
          </w:divBdr>
          <w:divsChild>
            <w:div w:id="1973095886">
              <w:marLeft w:val="0"/>
              <w:marRight w:val="0"/>
              <w:marTop w:val="0"/>
              <w:marBottom w:val="0"/>
              <w:divBdr>
                <w:top w:val="single" w:sz="2" w:space="0" w:color="auto"/>
                <w:left w:val="single" w:sz="2" w:space="0" w:color="auto"/>
                <w:bottom w:val="single" w:sz="2" w:space="0" w:color="auto"/>
                <w:right w:val="single" w:sz="2" w:space="0" w:color="auto"/>
              </w:divBdr>
            </w:div>
          </w:divsChild>
        </w:div>
        <w:div w:id="1900823359">
          <w:marLeft w:val="4560"/>
          <w:marRight w:val="4560"/>
          <w:marTop w:val="0"/>
          <w:marBottom w:val="0"/>
          <w:divBdr>
            <w:top w:val="single" w:sz="2" w:space="0" w:color="auto"/>
            <w:left w:val="single" w:sz="2" w:space="0" w:color="auto"/>
            <w:bottom w:val="single" w:sz="2" w:space="0" w:color="auto"/>
            <w:right w:val="single" w:sz="2" w:space="0" w:color="auto"/>
          </w:divBdr>
          <w:divsChild>
            <w:div w:id="4655839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guidance-reports/literacy-ks3-ks4" TargetMode="External"/><Relationship Id="rId18" Type="http://schemas.openxmlformats.org/officeDocument/2006/relationships/hyperlink" Target="https://educationendowmentfoundation.org.uk/education-evidence/teaching-learning-toolkit/one-to-one-tuition" TargetMode="External"/><Relationship Id="rId26" Type="http://schemas.openxmlformats.org/officeDocument/2006/relationships/hyperlink" Target="https://educationendowmentfoundation.org.uk/education-evidence/evidence-reviews/special-educational-needs-and-disabilities-send" TargetMode="External"/><Relationship Id="rId39" Type="http://schemas.openxmlformats.org/officeDocument/2006/relationships/footer" Target="footer1.xml"/><Relationship Id="rId21" Type="http://schemas.openxmlformats.org/officeDocument/2006/relationships/hyperlink" Target="https://educationendowmentfoundation.org.uk/education-evidence/teaching-learning-toolkit/one-to-one-tuition" TargetMode="External"/><Relationship Id="rId34" Type="http://schemas.openxmlformats.org/officeDocument/2006/relationships/hyperlink" Target="https://assets.publishing.service.gov.uk/government/uploads/system/uploads/attachment_data/file/904333/Character_Education_Framework_Guidance.pdf"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ducationendowmentfoundation.org.uk/guidance-for-teachers/using-pupil-premium?utm_source=/guidance-for-teachers/using-pupil-premium&amp;utm_medium=search&amp;utm_campaign=site_search&amp;search_term=pupi" TargetMode="External"/><Relationship Id="rId20" Type="http://schemas.openxmlformats.org/officeDocument/2006/relationships/hyperlink" Target="https://educationendowmentfoundation.org.uk/evidence-summaries/teaching-learning-toolkit/reading-comprehension-strategies/" TargetMode="External"/><Relationship Id="rId29" Type="http://schemas.openxmlformats.org/officeDocument/2006/relationships/hyperlink" Target="https://educationendowmentfoundation.org.uk/education-evidence/teaching-learning-toolkit/social-and-emotional-learning?utm_source=/education-evidence/teaching-learning-toolkit/social-and-emotional-learning&amp;utm_medium=search&amp;utm_campaign=site_search&amp;search_term=socia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feedback" TargetMode="External"/><Relationship Id="rId24" Type="http://schemas.openxmlformats.org/officeDocument/2006/relationships/hyperlink" Target="https://educationendowmentfoundation.org.uk/evidence-summaries/teaching-learning-toolkit/small-group-tuition/" TargetMode="External"/><Relationship Id="rId32" Type="http://schemas.openxmlformats.org/officeDocument/2006/relationships/hyperlink" Target="https://educationendowmentfoundation.org.uk/education-evidence/teaching-learning-toolkit/school-uniform"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homework" TargetMode="External"/><Relationship Id="rId23" Type="http://schemas.openxmlformats.org/officeDocument/2006/relationships/hyperlink" Target="https://educationendowmentfoundation.org.uk/education-evidence/teaching-learning-toolkit/one-to-one-tuition" TargetMode="External"/><Relationship Id="rId28" Type="http://schemas.openxmlformats.org/officeDocument/2006/relationships/hyperlink" Target="https://educationendowmentfoundation.org.uk/education-evidence/evidence-reviews/attendance-interventions-rapid-evidence-assessment?utm_source=/education-evidence/evidence-reviews/attendance-interventions-rapid-evidence-assessment&amp;utm_medium=search&amp;utm_campaign=site_search&amp;search_term=Attendance" TargetMode="External"/><Relationship Id="rId36" Type="http://schemas.openxmlformats.org/officeDocument/2006/relationships/hyperlink" Target="https://www.nhs.uk/live-well/exercise/exercise-health-benefits/" TargetMode="External"/><Relationship Id="rId10" Type="http://schemas.openxmlformats.org/officeDocument/2006/relationships/hyperlink" Target="https://educationendowmentfoundation.org.uk/tools/assessing-and-monitoring-pupil-progress/testing/standardised-tests/" TargetMode="External"/><Relationship Id="rId19" Type="http://schemas.openxmlformats.org/officeDocument/2006/relationships/hyperlink" Target="https://educationendowmentfoundation.org.uk/evidence-summaries/teaching-learning-toolkit/small-group-tuition/" TargetMode="External"/><Relationship Id="rId31" Type="http://schemas.openxmlformats.org/officeDocument/2006/relationships/hyperlink" Target="https://educationendowmentfoundation.org.uk/news/eef-blog-magic-breakfast-a-case-study-in-scaling-evidence-for-impact?utm_source=/news/eef-blog-magic-breakfast-a-case-study-in-scaling-evidence-for-impact&amp;utm_medium=search&amp;utm_campaign=site_search&amp;search_term=breakfa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up.com.cn/test/word-gap.pdf" TargetMode="External"/><Relationship Id="rId22" Type="http://schemas.openxmlformats.org/officeDocument/2006/relationships/hyperlink" Target="https://educationendowmentfoundation.org.uk/evidence-summaries/teaching-learning-toolkit/small-group-tuition/" TargetMode="External"/><Relationship Id="rId27" Type="http://schemas.openxmlformats.org/officeDocument/2006/relationships/hyperlink" Target="https://educationendowmentfoundation.org.uk/news/eef-blog-three-keys-to-unlocking-positive-learning-behaviours" TargetMode="External"/><Relationship Id="rId30" Type="http://schemas.openxmlformats.org/officeDocument/2006/relationships/hyperlink" Target="https://educationendowmentfoundation.org.uk/education-evidence/teaching-learning-toolkit/outdoor-adventure-learning" TargetMode="External"/><Relationship Id="rId35" Type="http://schemas.openxmlformats.org/officeDocument/2006/relationships/hyperlink" Target="https://discovery.ucl.ac.uk/id/eprint/10125763/1/Gutman_Schoon_%202013%20Non-cognitive_skills_literature_review_.pdf" TargetMode="External"/><Relationship Id="rId43" Type="http://schemas.microsoft.com/office/2020/10/relationships/intelligence" Target="intelligence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educationendowmentfoundation.org.uk/education-evidence/guidance-reports/literacy-ks3-ks4" TargetMode="External"/><Relationship Id="rId17" Type="http://schemas.openxmlformats.org/officeDocument/2006/relationships/hyperlink" Target="https://educationendowmentfoundation.org.uk/education-evidence/guidance-reports/effective-professional-development?utm_source=/education-evidence/guidance-reports/effective-professional-development&amp;utm_medium=search&amp;utm_campaign=site_search&amp;search_term=con" TargetMode="External"/><Relationship Id="rId25" Type="http://schemas.openxmlformats.org/officeDocument/2006/relationships/hyperlink" Target="https://assets.publishing.service.gov.uk/government/uploads/system/uploads/attachment_data/file/284286/reading_for_pleasure.pdf" TargetMode="External"/><Relationship Id="rId33" Type="http://schemas.openxmlformats.org/officeDocument/2006/relationships/hyperlink" Target="https://www.birmingham.gov.uk/info/20014/schools_and_learning/883/school_uniforms"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323884B5D96D478759C392F57C0ECC" ma:contentTypeVersion="22" ma:contentTypeDescription="Create a new document." ma:contentTypeScope="" ma:versionID="1031efcb4c682eebc0b30e1532fe41b1">
  <xsd:schema xmlns:xsd="http://www.w3.org/2001/XMLSchema" xmlns:xs="http://www.w3.org/2001/XMLSchema" xmlns:p="http://schemas.microsoft.com/office/2006/metadata/properties" xmlns:ns2="6ebfd9aa-b69f-49a6-b634-176927fc9482" xmlns:ns3="0ef2a240-1b56-47ea-8527-6e4278df0fa3" targetNamespace="http://schemas.microsoft.com/office/2006/metadata/properties" ma:root="true" ma:fieldsID="3ea6bfe5cc3e955d6e244becb88be814" ns2:_="" ns3:_="">
    <xsd:import namespace="6ebfd9aa-b69f-49a6-b634-176927fc9482"/>
    <xsd:import namespace="0ef2a240-1b56-47ea-8527-6e4278df0f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fd9aa-b69f-49a6-b634-176927fc9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dd4238-02e9-43e5-8c39-62389a230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2a240-1b56-47ea-8527-6e4278df0f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b35399f-946d-4f22-9f8f-f6eb9b56adab}" ma:internalName="TaxCatchAll" ma:showField="CatchAllData" ma:web="0ef2a240-1b56-47ea-8527-6e4278df0f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bfd9aa-b69f-49a6-b634-176927fc9482">
      <Terms xmlns="http://schemas.microsoft.com/office/infopath/2007/PartnerControls"/>
    </lcf76f155ced4ddcb4097134ff3c332f>
    <TaxCatchAll xmlns="0ef2a240-1b56-47ea-8527-6e4278df0f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EA9CE-D51B-4B56-BB20-C4C7075E4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fd9aa-b69f-49a6-b634-176927fc9482"/>
    <ds:schemaRef ds:uri="0ef2a240-1b56-47ea-8527-6e4278df0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3B54A-9F01-4E87-8A6C-46DDA7ABA7C7}">
  <ds:schemaRefs>
    <ds:schemaRef ds:uri="http://schemas.microsoft.com/office/2006/metadata/properties"/>
    <ds:schemaRef ds:uri="http://schemas.microsoft.com/office/infopath/2007/PartnerControls"/>
    <ds:schemaRef ds:uri="6ebfd9aa-b69f-49a6-b634-176927fc9482"/>
    <ds:schemaRef ds:uri="0ef2a240-1b56-47ea-8527-6e4278df0fa3"/>
  </ds:schemaRefs>
</ds:datastoreItem>
</file>

<file path=customXml/itemProps3.xml><?xml version="1.0" encoding="utf-8"?>
<ds:datastoreItem xmlns:ds="http://schemas.openxmlformats.org/officeDocument/2006/customXml" ds:itemID="{38CFF5E9-1355-4BC3-A6B2-C90396892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3682</Words>
  <Characters>20991</Characters>
  <Application>Microsoft Office Word</Application>
  <DocSecurity>0</DocSecurity>
  <Lines>174</Lines>
  <Paragraphs>49</Paragraphs>
  <ScaleCrop>false</ScaleCrop>
  <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P Mills</cp:lastModifiedBy>
  <cp:revision>9</cp:revision>
  <cp:lastPrinted>2022-06-15T20:00:00Z</cp:lastPrinted>
  <dcterms:created xsi:type="dcterms:W3CDTF">2022-12-07T14:46:00Z</dcterms:created>
  <dcterms:modified xsi:type="dcterms:W3CDTF">2022-12-07T14:54:00Z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0x0101008F323884B5D96D478759C392F57C0ECC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